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emf" ContentType="image/x-e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left"/>
        <w:rPr>
          <w:rFonts w:eastAsia="黑体" w:cs="Times New Roman"/>
          <w:b/>
          <w:sz w:val="15"/>
          <w:szCs w:val="15"/>
        </w:rPr>
      </w:pPr>
      <w:bookmarkStart w:id="0" w:name="_Hlk94020973"/>
      <w:bookmarkEnd w:id="0"/>
      <w:r>
        <w:rPr>
          <w:rFonts w:hint="eastAsia" w:eastAsia="黑体" w:cs="Times New Roman"/>
          <w:b/>
          <w:sz w:val="15"/>
          <w:szCs w:val="15"/>
        </w:rPr>
        <w:t>文章编号：</w:t>
      </w:r>
    </w:p>
    <w:p>
      <w:pPr>
        <w:ind w:firstLine="0" w:firstLineChars="0"/>
        <w:jc w:val="center"/>
        <w:rPr>
          <w:rFonts w:eastAsia="黑体" w:cs="Times New Roman"/>
          <w:sz w:val="44"/>
          <w:szCs w:val="44"/>
        </w:rPr>
      </w:pPr>
      <w:r>
        <w:rPr>
          <w:rFonts w:eastAsia="黑体" w:cs="Times New Roman"/>
          <w:sz w:val="44"/>
          <w:szCs w:val="44"/>
        </w:rPr>
        <w:t>深水沉船打捞多体系统流载荷计算分析</w:t>
      </w:r>
    </w:p>
    <w:p>
      <w:pPr>
        <w:ind w:right="-48" w:rightChars="-24" w:firstLine="0" w:firstLineChars="0"/>
        <w:jc w:val="center"/>
        <w:rPr>
          <w:rFonts w:eastAsia="楷体" w:cs="Times New Roman"/>
          <w:sz w:val="28"/>
          <w:szCs w:val="28"/>
        </w:rPr>
      </w:pPr>
      <w:r>
        <w:rPr>
          <w:rFonts w:eastAsia="楷体" w:cs="Times New Roman"/>
          <w:sz w:val="28"/>
          <w:szCs w:val="28"/>
        </w:rPr>
        <w:t>刘雨</w:t>
      </w:r>
      <w:r>
        <w:rPr>
          <w:rFonts w:eastAsia="楷体" w:cs="Times New Roman"/>
          <w:sz w:val="28"/>
          <w:szCs w:val="28"/>
          <w:vertAlign w:val="superscript"/>
        </w:rPr>
        <w:t>1</w:t>
      </w:r>
      <w:r>
        <w:rPr>
          <w:rFonts w:eastAsia="楷体" w:cs="Times New Roman"/>
          <w:sz w:val="28"/>
          <w:szCs w:val="28"/>
        </w:rPr>
        <w:t>，凌宏杰</w:t>
      </w:r>
      <w:r>
        <w:rPr>
          <w:rFonts w:eastAsia="楷体" w:cs="Times New Roman"/>
          <w:sz w:val="28"/>
          <w:szCs w:val="28"/>
          <w:vertAlign w:val="superscript"/>
        </w:rPr>
        <w:t>2</w:t>
      </w:r>
      <w:r>
        <w:rPr>
          <w:rFonts w:eastAsia="楷体" w:cs="Times New Roman"/>
          <w:sz w:val="28"/>
          <w:szCs w:val="28"/>
        </w:rPr>
        <w:t>，严赛男</w:t>
      </w:r>
      <w:r>
        <w:rPr>
          <w:rFonts w:eastAsia="楷体" w:cs="Times New Roman"/>
          <w:sz w:val="28"/>
          <w:szCs w:val="28"/>
          <w:vertAlign w:val="superscript"/>
        </w:rPr>
        <w:t>1</w:t>
      </w:r>
      <w:r>
        <w:rPr>
          <w:rFonts w:eastAsia="楷体" w:cs="Times New Roman"/>
          <w:sz w:val="28"/>
          <w:szCs w:val="28"/>
        </w:rPr>
        <w:t>，周东荣</w:t>
      </w:r>
      <w:r>
        <w:rPr>
          <w:rFonts w:eastAsia="楷体" w:cs="Times New Roman"/>
          <w:sz w:val="28"/>
          <w:szCs w:val="28"/>
          <w:vertAlign w:val="superscript"/>
        </w:rPr>
        <w:t>1</w:t>
      </w:r>
      <w:bookmarkStart w:id="9" w:name="_GoBack"/>
      <w:bookmarkEnd w:id="9"/>
    </w:p>
    <w:p>
      <w:pPr>
        <w:spacing w:after="155" w:afterLines="50"/>
        <w:ind w:firstLine="0" w:firstLineChars="0"/>
        <w:jc w:val="center"/>
        <w:rPr>
          <w:rFonts w:cs="Times New Roman"/>
          <w:sz w:val="21"/>
          <w:szCs w:val="21"/>
        </w:rPr>
      </w:pPr>
      <w:r>
        <w:rPr>
          <w:rFonts w:cs="Times New Roman"/>
          <w:sz w:val="21"/>
          <w:szCs w:val="21"/>
        </w:rPr>
        <w:t>（1．交通运输部上海打捞局，上海  200090；2．江苏科技大学船舶与海洋工程学院，江苏镇江 212003）</w:t>
      </w:r>
    </w:p>
    <w:p>
      <w:pPr>
        <w:ind w:left="761" w:leftChars="200" w:right="544" w:rightChars="272" w:hanging="361" w:hangingChars="200"/>
        <w:rPr>
          <w:rFonts w:cs="Times New Roman"/>
          <w:spacing w:val="-2"/>
        </w:rPr>
      </w:pPr>
      <w:r>
        <w:rPr>
          <w:rFonts w:eastAsia="黑体" w:cs="Times New Roman"/>
          <w:b/>
          <w:bCs/>
          <w:sz w:val="18"/>
          <w:szCs w:val="18"/>
        </w:rPr>
        <w:t>摘  要：</w:t>
      </w:r>
      <w:r>
        <w:rPr>
          <w:rFonts w:cs="Times New Roman"/>
          <w:sz w:val="18"/>
          <w:szCs w:val="18"/>
        </w:rPr>
        <w:t>双驳船抬吊法被越来越多用于大吨位沉船整体打捞，其作为多体系统存在着</w:t>
      </w:r>
      <w:r>
        <w:rPr>
          <w:rFonts w:cs="Times New Roman"/>
          <w:spacing w:val="-2"/>
          <w:sz w:val="18"/>
          <w:szCs w:val="18"/>
        </w:rPr>
        <w:t>复杂的水动力特性，</w:t>
      </w:r>
      <w:r>
        <w:rPr>
          <w:rFonts w:cs="Times New Roman"/>
          <w:sz w:val="18"/>
          <w:szCs w:val="18"/>
        </w:rPr>
        <w:t>尤其在深水中应用尚需进一步研究。</w:t>
      </w:r>
      <w:r>
        <w:rPr>
          <w:rFonts w:cs="Times New Roman"/>
          <w:spacing w:val="-2"/>
          <w:sz w:val="18"/>
          <w:szCs w:val="18"/>
        </w:rPr>
        <w:t>本文</w:t>
      </w:r>
      <w:r>
        <w:rPr>
          <w:rFonts w:cs="Times New Roman"/>
          <w:sz w:val="18"/>
          <w:szCs w:val="18"/>
        </w:rPr>
        <w:t>基于粘流理论，借助</w:t>
      </w:r>
      <w:r>
        <w:rPr>
          <w:rFonts w:cs="Times New Roman"/>
          <w:spacing w:val="-2"/>
          <w:sz w:val="18"/>
          <w:szCs w:val="18"/>
        </w:rPr>
        <w:t xml:space="preserve"> CFD 软件 FINE/Marine对双驳船抬吊法在深水海域整体打捞大吨位沉船作业过程中受到的流载荷进行数值分析，给出</w:t>
      </w:r>
      <w:r>
        <w:rPr>
          <w:rFonts w:cs="Times New Roman"/>
          <w:sz w:val="18"/>
          <w:szCs w:val="18"/>
        </w:rPr>
        <w:t>沉船不同浸没水深不同方向的流力系数，重点分析了沉船出水后的多体系统流载荷和流场分布情况，研究多体系统的遮蔽效应。相关研究结果对双驳抬吊沉船整体打捞方案设计中的船舶水动力及运动特性分析具有重要的参考价值。</w:t>
      </w:r>
    </w:p>
    <w:p>
      <w:pPr>
        <w:ind w:firstLine="361"/>
        <w:rPr>
          <w:rFonts w:cs="Times New Roman"/>
          <w:b/>
          <w:bCs/>
          <w:szCs w:val="20"/>
          <w:lang w:val="en-GB"/>
        </w:rPr>
      </w:pPr>
      <w:r>
        <w:rPr>
          <w:rFonts w:eastAsia="黑体" w:cs="Times New Roman"/>
          <w:b/>
          <w:bCs/>
          <w:sz w:val="18"/>
          <w:szCs w:val="18"/>
        </w:rPr>
        <w:t>关键词：</w:t>
      </w:r>
      <w:r>
        <w:rPr>
          <w:rFonts w:cs="Times New Roman"/>
          <w:sz w:val="18"/>
          <w:szCs w:val="18"/>
          <w:lang w:val="en-GB"/>
        </w:rPr>
        <w:t>沉船打捞</w:t>
      </w:r>
      <w:r>
        <w:rPr>
          <w:rFonts w:cs="Times New Roman"/>
          <w:bCs/>
          <w:sz w:val="18"/>
          <w:szCs w:val="18"/>
          <w:lang w:val="en-GB"/>
        </w:rPr>
        <w:t>；多体系统；CFD；流载荷；遮蔽效应</w:t>
      </w:r>
    </w:p>
    <w:p>
      <w:pPr>
        <w:ind w:firstLine="361"/>
        <w:rPr>
          <w:rFonts w:cs="Times New Roman"/>
          <w:bCs/>
          <w:szCs w:val="20"/>
          <w:lang w:val="en-GB"/>
        </w:rPr>
      </w:pPr>
      <w:r>
        <w:rPr>
          <w:rFonts w:eastAsia="黑体" w:cs="Times New Roman"/>
          <w:b/>
          <w:bCs/>
          <w:sz w:val="18"/>
          <w:szCs w:val="18"/>
        </w:rPr>
        <w:t>中图分类号：</w:t>
      </w:r>
      <w:r>
        <w:rPr>
          <w:rFonts w:cs="Times New Roman"/>
          <w:bCs/>
          <w:szCs w:val="20"/>
          <w:lang w:val="en-GB"/>
        </w:rPr>
        <w:t xml:space="preserve">                 </w:t>
      </w:r>
      <w:r>
        <w:rPr>
          <w:rFonts w:eastAsia="黑体" w:cs="Times New Roman"/>
          <w:b/>
          <w:bCs/>
          <w:sz w:val="18"/>
          <w:szCs w:val="18"/>
        </w:rPr>
        <w:t xml:space="preserve">  文献标志码：A</w:t>
      </w:r>
    </w:p>
    <w:p>
      <w:pPr>
        <w:spacing w:before="155" w:beforeLines="50" w:after="155" w:afterLines="50"/>
        <w:ind w:firstLine="0" w:firstLineChars="0"/>
        <w:jc w:val="center"/>
        <w:rPr>
          <w:rFonts w:eastAsia="黑体" w:cs="Times New Roman"/>
          <w:b/>
          <w:sz w:val="28"/>
          <w:szCs w:val="28"/>
          <w:lang w:val="en-GB"/>
        </w:rPr>
      </w:pPr>
      <w:r>
        <w:rPr>
          <w:rFonts w:eastAsia="黑体" w:cs="Times New Roman"/>
          <w:b/>
          <w:sz w:val="28"/>
          <w:szCs w:val="28"/>
          <w:lang w:val="en-GB"/>
        </w:rPr>
        <w:t>Computation and Analysis of Current Load of Multi-body System for Deepwater Shipwreck Salvage</w:t>
      </w:r>
    </w:p>
    <w:p>
      <w:pPr>
        <w:ind w:firstLine="0" w:firstLineChars="0"/>
        <w:jc w:val="center"/>
        <w:rPr>
          <w:rFonts w:cs="Times New Roman"/>
          <w:i/>
          <w:sz w:val="21"/>
          <w:szCs w:val="21"/>
        </w:rPr>
      </w:pPr>
      <w:r>
        <w:rPr>
          <w:rFonts w:cs="Times New Roman"/>
          <w:i/>
          <w:sz w:val="21"/>
          <w:szCs w:val="21"/>
        </w:rPr>
        <w:t>L</w:t>
      </w:r>
      <w:r>
        <w:rPr>
          <w:rFonts w:hint="eastAsia" w:cs="Times New Roman"/>
          <w:i/>
          <w:sz w:val="21"/>
          <w:szCs w:val="21"/>
        </w:rPr>
        <w:t>IU</w:t>
      </w:r>
      <w:r>
        <w:rPr>
          <w:rFonts w:cs="Times New Roman"/>
          <w:i/>
          <w:sz w:val="21"/>
          <w:szCs w:val="21"/>
        </w:rPr>
        <w:t xml:space="preserve"> Yu</w:t>
      </w:r>
      <w:r>
        <w:rPr>
          <w:rFonts w:cs="Times New Roman"/>
          <w:i/>
          <w:sz w:val="21"/>
          <w:szCs w:val="21"/>
          <w:vertAlign w:val="superscript"/>
        </w:rPr>
        <w:t>1</w:t>
      </w:r>
      <w:r>
        <w:rPr>
          <w:rFonts w:cs="Times New Roman"/>
          <w:i/>
          <w:sz w:val="21"/>
          <w:szCs w:val="21"/>
        </w:rPr>
        <w:t>, LING Hongjie</w:t>
      </w:r>
      <w:r>
        <w:rPr>
          <w:rFonts w:cs="Times New Roman"/>
          <w:i/>
          <w:sz w:val="21"/>
          <w:szCs w:val="21"/>
          <w:vertAlign w:val="superscript"/>
        </w:rPr>
        <w:t>2</w:t>
      </w:r>
      <w:r>
        <w:rPr>
          <w:rFonts w:cs="Times New Roman"/>
          <w:i/>
          <w:sz w:val="21"/>
          <w:szCs w:val="21"/>
        </w:rPr>
        <w:t>, YAN S</w:t>
      </w:r>
      <w:r>
        <w:rPr>
          <w:rFonts w:hint="eastAsia" w:cs="Times New Roman"/>
          <w:i/>
          <w:sz w:val="21"/>
          <w:szCs w:val="21"/>
        </w:rPr>
        <w:t>ainan</w:t>
      </w:r>
      <w:r>
        <w:rPr>
          <w:rFonts w:cs="Times New Roman"/>
          <w:i/>
          <w:sz w:val="21"/>
          <w:szCs w:val="21"/>
          <w:vertAlign w:val="superscript"/>
        </w:rPr>
        <w:t>1</w:t>
      </w:r>
      <w:r>
        <w:rPr>
          <w:rFonts w:cs="Times New Roman"/>
          <w:i/>
          <w:sz w:val="21"/>
          <w:szCs w:val="21"/>
        </w:rPr>
        <w:t>,ZHOU Dongrong</w:t>
      </w:r>
      <w:r>
        <w:rPr>
          <w:rFonts w:cs="Times New Roman"/>
          <w:i/>
          <w:sz w:val="21"/>
          <w:szCs w:val="21"/>
          <w:vertAlign w:val="superscript"/>
        </w:rPr>
        <w:t>1</w:t>
      </w:r>
    </w:p>
    <w:p>
      <w:pPr>
        <w:spacing w:after="155" w:afterLines="50"/>
        <w:ind w:firstLine="0" w:firstLineChars="0"/>
        <w:jc w:val="center"/>
        <w:rPr>
          <w:rFonts w:eastAsia="楷体_GB2312" w:cs="Times New Roman"/>
          <w:sz w:val="21"/>
          <w:szCs w:val="21"/>
        </w:rPr>
      </w:pPr>
      <w:r>
        <w:rPr>
          <w:rFonts w:cs="Times New Roman"/>
          <w:sz w:val="21"/>
          <w:szCs w:val="21"/>
        </w:rPr>
        <w:t>(</w:t>
      </w:r>
      <w:r>
        <w:rPr>
          <w:rFonts w:eastAsia="楷体_GB2312" w:cs="Times New Roman"/>
          <w:sz w:val="21"/>
          <w:szCs w:val="21"/>
        </w:rPr>
        <w:t>1.Shanghai Salvage Company，Shanghai 200090；2. Jiangsu University of Science and Technology，Jiangsu Zhenjiang 212003，China)</w:t>
      </w:r>
    </w:p>
    <w:p>
      <w:pPr>
        <w:ind w:firstLine="361"/>
        <w:rPr>
          <w:rFonts w:cs="Times New Roman"/>
          <w:sz w:val="18"/>
          <w:szCs w:val="18"/>
          <w:lang w:val="en-GB"/>
        </w:rPr>
      </w:pPr>
      <w:r>
        <w:rPr>
          <w:rFonts w:eastAsia="楷体_GB2312" w:cs="Times New Roman"/>
          <w:b/>
          <w:sz w:val="18"/>
          <w:szCs w:val="18"/>
        </w:rPr>
        <w:t>Abstract：</w:t>
      </w:r>
      <w:r>
        <w:rPr>
          <w:rFonts w:cs="Times New Roman"/>
          <w:sz w:val="18"/>
          <w:szCs w:val="18"/>
          <w:lang w:val="en-GB"/>
        </w:rPr>
        <w:t xml:space="preserve">The tandem lift method with two lifting barges has been more and more frequently applied in one-piece salvage of large tonnage shipwreck, which has more complicated hydrodynamic characteristics as a multi-body system. Some further study should be conducted when using this method in deep water. </w:t>
      </w:r>
      <w:r>
        <w:rPr>
          <w:rFonts w:cs="Times New Roman"/>
          <w:sz w:val="18"/>
          <w:szCs w:val="18"/>
        </w:rPr>
        <w:t>Based on viscous flow theory, CFD software FINE/Marine is used in this paper to carry out numerical analysis of current load of the multi-body lifting system for one-piece salvage of shipwreck in deep w</w:t>
      </w:r>
      <w:r>
        <w:rPr>
          <w:rFonts w:cs="Times New Roman"/>
          <w:sz w:val="18"/>
          <w:szCs w:val="18"/>
          <w:lang w:val="en-GB"/>
        </w:rPr>
        <w:t xml:space="preserve">ater. Multi-directional current drag coefficient of the shipwreck in different submerged water depths is provided in this paper. And </w:t>
      </w:r>
      <w:r>
        <w:rPr>
          <w:rFonts w:cs="Times New Roman"/>
          <w:sz w:val="18"/>
          <w:szCs w:val="18"/>
        </w:rPr>
        <w:t>the current load, flow field distribution and shadow effect of the multi-body lifting system are mainly discussed and analyzed when the shipwreck is lifted out of water. The analysis result can provide a valuable reference for the ship hydrodynamic and motional</w:t>
      </w:r>
      <w:r>
        <w:rPr>
          <w:rFonts w:cs="Times New Roman"/>
          <w:sz w:val="18"/>
          <w:szCs w:val="18"/>
          <w:lang w:val="en-GB"/>
        </w:rPr>
        <w:t xml:space="preserve"> performance analysis in the engineering of tandem lifting for </w:t>
      </w:r>
      <w:r>
        <w:rPr>
          <w:rFonts w:cs="Times New Roman"/>
          <w:sz w:val="18"/>
          <w:szCs w:val="18"/>
        </w:rPr>
        <w:t>one-piece salvage of shipwreck.</w:t>
      </w:r>
    </w:p>
    <w:p>
      <w:pPr>
        <w:spacing w:after="155" w:afterLines="50"/>
        <w:ind w:firstLine="361"/>
        <w:rPr>
          <w:rFonts w:cs="Times New Roman"/>
          <w:bCs/>
          <w:szCs w:val="20"/>
          <w:lang w:val="en-GB"/>
        </w:rPr>
      </w:pPr>
      <w:r>
        <w:rPr>
          <w:rFonts w:eastAsia="楷体_GB2312" w:cs="Times New Roman"/>
          <w:b/>
          <w:sz w:val="18"/>
          <w:szCs w:val="18"/>
        </w:rPr>
        <w:t>Key words：</w:t>
      </w:r>
      <w:r>
        <w:rPr>
          <w:rFonts w:cs="Times New Roman"/>
          <w:szCs w:val="20"/>
          <w:lang w:val="en-GB"/>
        </w:rPr>
        <w:t>shipwreck salvage</w:t>
      </w:r>
      <w:r>
        <w:rPr>
          <w:rFonts w:eastAsia="楷体_GB2312" w:cs="Times New Roman"/>
          <w:sz w:val="18"/>
          <w:szCs w:val="18"/>
        </w:rPr>
        <w:t>；</w:t>
      </w:r>
      <w:r>
        <w:rPr>
          <w:rFonts w:cs="Times New Roman"/>
          <w:szCs w:val="20"/>
          <w:lang w:val="en-GB"/>
        </w:rPr>
        <w:t>multi-bo</w:t>
      </w:r>
      <w:r>
        <w:rPr>
          <w:rFonts w:cs="Times New Roman"/>
          <w:bCs/>
          <w:szCs w:val="20"/>
          <w:lang w:val="en-GB"/>
        </w:rPr>
        <w:t>dy</w:t>
      </w:r>
      <w:r>
        <w:rPr>
          <w:rFonts w:eastAsia="楷体_GB2312" w:cs="Times New Roman"/>
          <w:sz w:val="18"/>
          <w:szCs w:val="18"/>
        </w:rPr>
        <w:t>；</w:t>
      </w:r>
      <w:r>
        <w:rPr>
          <w:rFonts w:cs="Times New Roman"/>
          <w:bCs/>
          <w:szCs w:val="20"/>
        </w:rPr>
        <w:t>CFD</w:t>
      </w:r>
      <w:r>
        <w:rPr>
          <w:rFonts w:eastAsia="楷体_GB2312" w:cs="Times New Roman"/>
          <w:sz w:val="18"/>
          <w:szCs w:val="18"/>
        </w:rPr>
        <w:t>；</w:t>
      </w:r>
      <w:r>
        <w:rPr>
          <w:rFonts w:cs="Times New Roman"/>
          <w:bCs/>
          <w:szCs w:val="20"/>
          <w:lang w:val="en-GB"/>
        </w:rPr>
        <w:t>current load</w:t>
      </w:r>
      <w:r>
        <w:rPr>
          <w:rFonts w:eastAsia="楷体_GB2312" w:cs="Times New Roman"/>
          <w:sz w:val="18"/>
          <w:szCs w:val="18"/>
        </w:rPr>
        <w:t>；shielding</w:t>
      </w:r>
      <w:r>
        <w:rPr>
          <w:rFonts w:cs="Times New Roman"/>
          <w:bCs/>
          <w:szCs w:val="20"/>
          <w:lang w:val="en-GB"/>
        </w:rPr>
        <w:t xml:space="preserve"> effect</w:t>
      </w:r>
    </w:p>
    <w:p>
      <w:pPr>
        <w:ind w:firstLine="0" w:firstLineChars="0"/>
        <w:rPr>
          <w:rFonts w:cs="Times New Roman"/>
          <w:bCs/>
          <w:szCs w:val="20"/>
          <w:lang w:val="en-GB"/>
        </w:r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851" w:footer="794" w:gutter="0"/>
          <w:pgBorders>
            <w:top w:val="thinThickSmallGap" w:color="auto" w:sz="24" w:space="1"/>
          </w:pgBorders>
          <w:pgNumType w:start="1"/>
          <w:cols w:space="720" w:num="1"/>
          <w:docGrid w:type="lines" w:linePitch="310" w:charSpace="-3240"/>
        </w:sectPr>
      </w:pPr>
    </w:p>
    <w:p>
      <w:pPr>
        <w:ind w:firstLine="0" w:firstLineChars="0"/>
        <w:outlineLvl w:val="0"/>
        <w:rPr>
          <w:rFonts w:eastAsia="仿宋" w:cs="Times New Roman"/>
          <w:b/>
          <w:sz w:val="28"/>
          <w:szCs w:val="28"/>
        </w:rPr>
      </w:pPr>
      <w:r>
        <w:rPr>
          <w:rFonts w:eastAsia="仿宋" w:cs="Times New Roman"/>
          <w:b/>
          <w:sz w:val="28"/>
          <w:szCs w:val="28"/>
        </w:rPr>
        <w:t xml:space="preserve">0 </w:t>
      </w:r>
      <w:r>
        <w:rPr>
          <w:rFonts w:eastAsia="仿宋" w:cs="Times New Roman"/>
          <w:sz w:val="28"/>
          <w:szCs w:val="28"/>
        </w:rPr>
        <w:t>引言</w:t>
      </w:r>
    </w:p>
    <w:p>
      <w:pPr>
        <w:spacing w:line="120" w:lineRule="auto"/>
        <w:ind w:firstLine="0" w:firstLineChars="0"/>
        <w:rPr>
          <w:rFonts w:cs="Times New Roman"/>
          <w:sz w:val="21"/>
          <w:szCs w:val="21"/>
        </w:rPr>
      </w:pPr>
      <w:r>
        <w:rPr>
          <w:rFonts w:cs="Times New Roman"/>
          <w:sz w:val="21"/>
          <w:szCs w:val="21"/>
        </w:rPr>
        <w:t>随着世界海洋运输的发展，海损事故沉船的大型化、深水化趋势明显，对事故沉船的打捞能力的发展也在推进。采用液压同步提升技术的双驳抬吊沉船打捞工艺，具有打捞吨位大，自动化高，可控性强等优点</w:t>
      </w:r>
      <w:r>
        <w:rPr>
          <w:rFonts w:cs="Times New Roman"/>
          <w:sz w:val="21"/>
          <w:szCs w:val="21"/>
          <w:vertAlign w:val="superscript"/>
        </w:rPr>
        <w:t>[1]</w:t>
      </w:r>
      <w:r>
        <w:rPr>
          <w:rFonts w:cs="Times New Roman"/>
          <w:sz w:val="21"/>
          <w:szCs w:val="21"/>
        </w:rPr>
        <w:t>，近些年被应用于大吨位沉船整体打捞。如2007年烟台打捞局完成的“畅通”艉段整体打捞工程，2017年上海打捞局完成的韩国“世越号”整体打捞工程等，标志着我国已具备60m以</w:t>
      </w:r>
      <w:r>
        <w:rPr>
          <w:rFonts w:hint="eastAsia" w:cs="Times New Roman"/>
          <w:sz w:val="21"/>
          <w:szCs w:val="21"/>
        </w:rPr>
        <w:t>内</w:t>
      </w:r>
      <w:r>
        <w:rPr>
          <w:rFonts w:cs="Times New Roman"/>
          <w:sz w:val="21"/>
          <w:szCs w:val="21"/>
        </w:rPr>
        <w:t>浅海区整体打捞2万~3万吨级沉船的能力，但在深海大吨位沉船打捞技术方面还有待提高</w:t>
      </w:r>
      <w:r>
        <w:rPr>
          <w:rFonts w:cs="Times New Roman"/>
          <w:sz w:val="21"/>
          <w:szCs w:val="21"/>
          <w:vertAlign w:val="superscript"/>
        </w:rPr>
        <w:t>[2]</w:t>
      </w:r>
      <w:r>
        <w:rPr>
          <w:rFonts w:cs="Times New Roman"/>
          <w:sz w:val="21"/>
          <w:szCs w:val="21"/>
        </w:rPr>
        <w:t>。使用双驳抬吊技术进行沉船整体打捞</w:t>
      </w:r>
      <w:r>
        <w:rPr>
          <w:rFonts w:cs="Times New Roman"/>
          <w:spacing w:val="-2"/>
          <w:sz w:val="21"/>
          <w:szCs w:val="21"/>
        </w:rPr>
        <w:t>作业过程状态下流载荷计算方法已不再适用。因此针对双驳抬吊沉船打捞作业进行较为全面准确的流载荷计算分析变得十分必要。</w:t>
      </w:r>
    </w:p>
    <w:p>
      <w:pPr>
        <w:ind w:firstLine="420"/>
        <w:rPr>
          <w:rFonts w:cs="Times New Roman"/>
          <w:sz w:val="21"/>
          <w:szCs w:val="21"/>
        </w:rPr>
        <w:sectPr>
          <w:type w:val="continuous"/>
          <w:pgSz w:w="11906" w:h="16838"/>
          <w:pgMar w:top="1440" w:right="1797" w:bottom="1440" w:left="1797" w:header="851" w:footer="794" w:gutter="0"/>
          <w:pgBorders>
            <w:top w:val="thinThickSmallGap" w:color="auto" w:sz="24" w:space="1"/>
          </w:pgBorders>
          <w:pgNumType w:start="1"/>
          <w:cols w:space="400" w:num="2"/>
          <w:titlePg/>
          <w:docGrid w:type="lines" w:linePitch="310" w:charSpace="-3240"/>
        </w:sectPr>
      </w:pPr>
    </w:p>
    <w:p>
      <w:pPr>
        <w:ind w:firstLine="420"/>
        <w:rPr>
          <w:rFonts w:cs="Times New Roman"/>
          <w:spacing w:val="-2"/>
          <w:sz w:val="21"/>
          <w:szCs w:val="21"/>
        </w:rPr>
      </w:pPr>
      <w:r>
        <w:rPr>
          <w:rFonts w:cs="Times New Roman"/>
          <w:sz w:val="21"/>
          <w:szCs w:val="21"/>
        </w:rPr>
        <w:t>目前，CFD(Computational Fluid Dynamics</w:t>
      </w:r>
      <w:r>
        <w:rPr>
          <w:rFonts w:hint="eastAsia" w:cs="Times New Roman"/>
          <w:sz w:val="21"/>
          <w:szCs w:val="21"/>
        </w:rPr>
        <w:t>)</w:t>
      </w:r>
      <w:r>
        <w:rPr>
          <w:rFonts w:cs="Times New Roman"/>
          <w:sz w:val="21"/>
          <w:szCs w:val="21"/>
        </w:rPr>
        <w:t xml:space="preserve"> 计算流体力学数值仿真方法已日益成为船舶水动力性能研究的首选方法</w:t>
      </w:r>
      <w:r>
        <w:rPr>
          <w:rFonts w:cs="Times New Roman"/>
          <w:sz w:val="21"/>
          <w:szCs w:val="21"/>
          <w:vertAlign w:val="superscript"/>
        </w:rPr>
        <w:t>[3]</w:t>
      </w:r>
      <w:r>
        <w:rPr>
          <w:rFonts w:cs="Times New Roman"/>
          <w:sz w:val="21"/>
          <w:szCs w:val="21"/>
        </w:rPr>
        <w:t>，适用于不同类型无实验数据的船舶流载荷计算。倪歆韵</w:t>
      </w:r>
      <w:r>
        <w:rPr>
          <w:rFonts w:cs="Times New Roman"/>
          <w:sz w:val="21"/>
          <w:szCs w:val="21"/>
          <w:vertAlign w:val="superscript"/>
        </w:rPr>
        <w:t>[4]</w:t>
      </w:r>
      <w:r>
        <w:rPr>
          <w:rFonts w:cs="Times New Roman"/>
          <w:sz w:val="21"/>
          <w:szCs w:val="21"/>
        </w:rPr>
        <w:t>基于 SST k</w:t>
      </w:r>
      <w:r>
        <w:rPr>
          <w:rFonts w:eastAsia="微软雅黑" w:cs="Times New Roman"/>
          <w:sz w:val="21"/>
          <w:szCs w:val="21"/>
        </w:rPr>
        <w:t>−</w:t>
      </w:r>
      <w:r>
        <w:rPr>
          <w:rFonts w:cs="Times New Roman"/>
          <w:sz w:val="21"/>
          <w:szCs w:val="21"/>
        </w:rPr>
        <w:t>ω 湍流模型利用CFD方法</w:t>
      </w:r>
      <w:r>
        <w:rPr>
          <w:rFonts w:hint="eastAsia" w:cs="Times New Roman"/>
          <w:sz w:val="21"/>
          <w:szCs w:val="21"/>
        </w:rPr>
        <w:t>对</w:t>
      </w:r>
      <w:r>
        <w:rPr>
          <w:rFonts w:cs="Times New Roman"/>
          <w:sz w:val="21"/>
          <w:szCs w:val="21"/>
        </w:rPr>
        <w:t>某钻井平台流载荷进行了计算，并通过与模型试验结果进行对比分析，验证了CFD数值计算方法的可靠性。田喜民</w:t>
      </w:r>
      <w:r>
        <w:rPr>
          <w:rFonts w:cs="Times New Roman"/>
          <w:sz w:val="21"/>
          <w:szCs w:val="21"/>
          <w:vertAlign w:val="superscript"/>
        </w:rPr>
        <w:t>[5]</w:t>
      </w:r>
      <w:r>
        <w:rPr>
          <w:rFonts w:cs="Times New Roman"/>
          <w:sz w:val="21"/>
          <w:szCs w:val="21"/>
        </w:rPr>
        <w:t>采用CFD方法基于不同湍流模式对KVLCC2模型的斜航运动粘性流场进行了数值模拟，得出了SST k-ω 模式更为适合于船舶斜航运动粘性流场数值模拟的结论。对于完全浸没于水中的沉船或多船体并靠在一起多体系统的流载荷，相关研究工作还相对较少。秦飞等</w:t>
      </w:r>
      <w:r>
        <w:rPr>
          <w:rFonts w:cs="Times New Roman"/>
          <w:sz w:val="21"/>
          <w:szCs w:val="21"/>
          <w:vertAlign w:val="superscript"/>
        </w:rPr>
        <w:t>[6]</w:t>
      </w:r>
      <w:r>
        <w:rPr>
          <w:rFonts w:cs="Times New Roman"/>
          <w:sz w:val="21"/>
          <w:szCs w:val="21"/>
        </w:rPr>
        <w:t>基于三维势流理论提出了两船并靠作业时流载荷的遮蔽效应，但并未考虑到粘性的影响。于佳晖</w:t>
      </w:r>
      <w:r>
        <w:rPr>
          <w:rFonts w:cs="Times New Roman"/>
          <w:sz w:val="21"/>
          <w:szCs w:val="21"/>
          <w:vertAlign w:val="superscript"/>
        </w:rPr>
        <w:t>[7]</w:t>
      </w:r>
      <w:r>
        <w:rPr>
          <w:rFonts w:cs="Times New Roman"/>
          <w:sz w:val="21"/>
          <w:szCs w:val="21"/>
        </w:rPr>
        <w:t xml:space="preserve"> 利用 CFD软件计算并靠补给作业中船舶的流载荷，分析了各种工况因素对船舶流载荷遮蔽效应的影响。</w:t>
      </w:r>
      <w:r>
        <w:rPr>
          <w:rFonts w:cs="Times New Roman"/>
          <w:spacing w:val="-2"/>
          <w:sz w:val="21"/>
          <w:szCs w:val="21"/>
        </w:rPr>
        <w:t>Hong 等</w:t>
      </w:r>
      <w:r>
        <w:rPr>
          <w:rFonts w:cs="Times New Roman"/>
          <w:spacing w:val="-2"/>
          <w:sz w:val="21"/>
          <w:szCs w:val="21"/>
          <w:vertAlign w:val="superscript"/>
        </w:rPr>
        <w:t>[8]</w:t>
      </w:r>
      <w:r>
        <w:rPr>
          <w:rFonts w:cs="Times New Roman"/>
          <w:spacing w:val="-2"/>
          <w:sz w:val="21"/>
          <w:szCs w:val="21"/>
        </w:rPr>
        <w:t>运用 STAR-CCM+数值仿真方法计算了三船并靠补给时不同流向角下的流载荷结果，证明了流载荷在并靠补给作业时存在明显遮蔽性。汤翔宇</w:t>
      </w:r>
      <w:r>
        <w:rPr>
          <w:rFonts w:cs="Times New Roman"/>
          <w:spacing w:val="-2"/>
          <w:sz w:val="21"/>
          <w:szCs w:val="21"/>
          <w:vertAlign w:val="superscript"/>
        </w:rPr>
        <w:t xml:space="preserve">[9] </w:t>
      </w:r>
      <w:r>
        <w:rPr>
          <w:rFonts w:cs="Times New Roman"/>
          <w:spacing w:val="-2"/>
          <w:sz w:val="21"/>
          <w:szCs w:val="21"/>
        </w:rPr>
        <w:t>基于粘流理论和</w:t>
      </w:r>
      <w:r>
        <w:rPr>
          <w:rFonts w:cs="Times New Roman"/>
          <w:sz w:val="21"/>
          <w:szCs w:val="21"/>
        </w:rPr>
        <w:t>SST k-ω湍流模型</w:t>
      </w:r>
      <w:r>
        <w:rPr>
          <w:rFonts w:cs="Times New Roman"/>
          <w:spacing w:val="-2"/>
          <w:sz w:val="21"/>
          <w:szCs w:val="21"/>
        </w:rPr>
        <w:t>利用 CFD 软件对非对称半潜式平台双浮体的流载荷进行了数值计算，并通过与模型试验结果对比，得出数值模拟误差小于 5.34%。</w:t>
      </w:r>
    </w:p>
    <w:p>
      <w:pPr>
        <w:ind w:firstLine="412"/>
        <w:rPr>
          <w:rFonts w:cs="Times New Roman"/>
          <w:sz w:val="21"/>
          <w:szCs w:val="21"/>
        </w:rPr>
      </w:pPr>
      <w:r>
        <w:rPr>
          <w:rFonts w:cs="Times New Roman"/>
          <w:spacing w:val="-2"/>
          <w:sz w:val="21"/>
          <w:szCs w:val="21"/>
        </w:rPr>
        <w:t>相对于浅水海域，应用双驳船抬吊法进行深水沉船打捞时，需使用较长的起吊索具，沉船起吊距离和时间也更长，海流分层明显，整个打捞起吊系统受到的流载荷也更为复杂。本文针对300 m 水深使用双驳船抬吊法对大型沉船进行整体打捞为研究案例，</w:t>
      </w:r>
      <w:r>
        <w:rPr>
          <w:rFonts w:cs="Times New Roman"/>
          <w:sz w:val="21"/>
          <w:szCs w:val="21"/>
        </w:rPr>
        <w:t>基于粘性流体理论，借助</w:t>
      </w:r>
      <w:r>
        <w:rPr>
          <w:rFonts w:cs="Times New Roman"/>
          <w:spacing w:val="-2"/>
          <w:sz w:val="21"/>
          <w:szCs w:val="21"/>
        </w:rPr>
        <w:t xml:space="preserve"> CFD 软件 FINE/Marine</w:t>
      </w:r>
      <w:r>
        <w:rPr>
          <w:rFonts w:cs="Times New Roman"/>
          <w:sz w:val="21"/>
          <w:szCs w:val="21"/>
        </w:rPr>
        <w:t>分别对位于不同浸没深度双驳抬吊的沉船出水后的多体打捞系统的流载荷和流力系数进行计算分析，研究双驳船抬吊深水打捞大型沉船不同工况下的流场分布，为实际工程中打捞方案的前期设计中的船舶水动力及运动响应分析提供参考依据。</w:t>
      </w:r>
    </w:p>
    <w:p>
      <w:pPr>
        <w:ind w:firstLine="0" w:firstLineChars="0"/>
        <w:outlineLvl w:val="0"/>
        <w:rPr>
          <w:rFonts w:eastAsia="仿宋" w:cs="Times New Roman"/>
          <w:b/>
          <w:sz w:val="28"/>
          <w:szCs w:val="28"/>
        </w:rPr>
      </w:pPr>
      <w:r>
        <w:rPr>
          <w:rFonts w:eastAsia="仿宋" w:cs="Times New Roman"/>
          <w:b/>
          <w:sz w:val="28"/>
          <w:szCs w:val="28"/>
        </w:rPr>
        <w:t xml:space="preserve">1  </w:t>
      </w:r>
      <w:r>
        <w:rPr>
          <w:rFonts w:eastAsia="仿宋" w:cs="Times New Roman"/>
          <w:sz w:val="28"/>
          <w:szCs w:val="28"/>
        </w:rPr>
        <w:t>计算理论</w:t>
      </w:r>
    </w:p>
    <w:p>
      <w:pPr>
        <w:ind w:firstLine="0" w:firstLineChars="0"/>
        <w:outlineLvl w:val="1"/>
        <w:rPr>
          <w:rFonts w:eastAsia="黑体" w:cs="Times New Roman"/>
          <w:b/>
          <w:sz w:val="21"/>
          <w:szCs w:val="21"/>
        </w:rPr>
      </w:pPr>
      <w:r>
        <w:rPr>
          <w:rFonts w:eastAsia="黑体" w:cs="Times New Roman"/>
          <w:b/>
          <w:sz w:val="21"/>
          <w:szCs w:val="21"/>
        </w:rPr>
        <w:t xml:space="preserve">1.1  </w:t>
      </w:r>
      <w:r>
        <w:rPr>
          <w:rFonts w:eastAsia="黑体" w:cs="Times New Roman"/>
          <w:sz w:val="21"/>
          <w:szCs w:val="21"/>
        </w:rPr>
        <w:t>流体控制方程</w:t>
      </w:r>
    </w:p>
    <w:p>
      <w:pPr>
        <w:ind w:firstLine="420"/>
        <w:rPr>
          <w:rFonts w:cs="Times New Roman"/>
          <w:sz w:val="21"/>
          <w:szCs w:val="21"/>
        </w:rPr>
      </w:pPr>
      <w:r>
        <w:rPr>
          <w:rFonts w:cs="Times New Roman"/>
          <w:sz w:val="21"/>
          <w:szCs w:val="21"/>
        </w:rPr>
        <w:t>根据CFD方法计算流体力学基本理论，可将浮体周围流场视为均匀、不可压缩的粘性流体，流体运动的控制方程可写为：</w:t>
      </w:r>
    </w:p>
    <w:p>
      <w:pPr>
        <w:spacing w:line="120" w:lineRule="auto"/>
        <w:ind w:firstLine="420"/>
        <w:jc w:val="right"/>
        <w:textAlignment w:val="center"/>
        <w:rPr>
          <w:rFonts w:cs="Times New Roman"/>
          <w:sz w:val="21"/>
          <w:szCs w:val="21"/>
        </w:rPr>
      </w:pPr>
      <w:r>
        <w:rPr>
          <w:rFonts w:cs="Times New Roman"/>
          <w:sz w:val="21"/>
          <w:szCs w:val="21"/>
        </w:rPr>
        <w:object>
          <v:shape id="_x0000_i1025" o:spt="75" type="#_x0000_t75" style="height:24.6pt;width:72.45pt;" o:ole="t" filled="f" o:preferrelative="t" stroked="f" coordsize="21600,21600">
            <v:path/>
            <v:fill on="f" focussize="0,0"/>
            <v:stroke on="f" joinstyle="miter"/>
            <v:imagedata r:id="rId16" o:title=""/>
            <o:lock v:ext="edit" aspectratio="t"/>
            <w10:wrap type="none"/>
            <w10:anchorlock/>
          </v:shape>
          <o:OLEObject Type="Embed" ProgID="Equation.DSMT4" ShapeID="_x0000_i1025" DrawAspect="Content" ObjectID="_1468075725" r:id="rId15">
            <o:LockedField>false</o:LockedField>
          </o:OLEObject>
        </w:object>
      </w:r>
      <w:r>
        <w:rPr>
          <w:rFonts w:cs="Times New Roman"/>
          <w:sz w:val="21"/>
          <w:szCs w:val="21"/>
        </w:rPr>
        <w:t xml:space="preserve"> 　</w:t>
      </w:r>
      <w:r>
        <w:rPr>
          <w:rFonts w:hint="eastAsia" w:cs="Times New Roman"/>
          <w:sz w:val="21"/>
          <w:szCs w:val="21"/>
        </w:rPr>
        <w:t xml:space="preserve"> </w:t>
      </w:r>
      <w:r>
        <w:rPr>
          <w:rFonts w:cs="Times New Roman"/>
          <w:sz w:val="21"/>
          <w:szCs w:val="21"/>
        </w:rPr>
        <w:t xml:space="preserve">           </w:t>
      </w:r>
      <w:r>
        <w:rPr>
          <w:rFonts w:hint="eastAsia" w:cs="Times New Roman"/>
          <w:sz w:val="21"/>
          <w:szCs w:val="21"/>
        </w:rPr>
        <w:t>(</w:t>
      </w:r>
      <w:r>
        <w:rPr>
          <w:rFonts w:cs="Times New Roman"/>
          <w:sz w:val="21"/>
          <w:szCs w:val="21"/>
        </w:rPr>
        <w:t>1)</w:t>
      </w:r>
    </w:p>
    <w:p>
      <w:pPr>
        <w:ind w:firstLine="420"/>
        <w:textAlignment w:val="center"/>
        <w:rPr>
          <w:rFonts w:cs="Times New Roman"/>
          <w:sz w:val="21"/>
          <w:szCs w:val="21"/>
        </w:rPr>
      </w:pPr>
      <w:r>
        <w:rPr>
          <w:rFonts w:cs="Times New Roman"/>
          <w:sz w:val="21"/>
          <w:szCs w:val="21"/>
        </w:rPr>
        <w:t>当流体为粘性不可压缩，在运动过程过中由于流体的密度为常数，</w:t>
      </w:r>
      <w:r>
        <w:rPr>
          <w:rFonts w:cs="Times New Roman"/>
          <w:sz w:val="21"/>
          <w:szCs w:val="21"/>
        </w:rPr>
        <w:object>
          <v:shape id="_x0000_i1026" o:spt="75" type="#_x0000_t75" style="height:23.25pt;width:30.55pt;" o:ole="t" filled="f" o:preferrelative="t" stroked="f" coordsize="21600,21600">
            <v:path/>
            <v:fill on="f" focussize="0,0"/>
            <v:stroke on="f" joinstyle="miter"/>
            <v:imagedata r:id="rId18" o:title=""/>
            <o:lock v:ext="edit" aspectratio="t"/>
            <w10:wrap type="none"/>
            <w10:anchorlock/>
          </v:shape>
          <o:OLEObject Type="Embed" ProgID="Equation.DSMT4" ShapeID="_x0000_i1026" DrawAspect="Content" ObjectID="_1468075726" r:id="rId17">
            <o:LockedField>false</o:LockedField>
          </o:OLEObject>
        </w:object>
      </w:r>
      <w:r>
        <w:rPr>
          <w:rFonts w:hint="eastAsia" w:cs="Times New Roman"/>
          <w:sz w:val="21"/>
          <w:szCs w:val="21"/>
        </w:rPr>
        <w:t>，</w:t>
      </w:r>
      <w:r>
        <w:rPr>
          <w:rFonts w:cs="Times New Roman"/>
          <w:sz w:val="21"/>
          <w:szCs w:val="21"/>
        </w:rPr>
        <w:t>则式</w:t>
      </w:r>
      <w:r>
        <w:rPr>
          <w:rFonts w:hint="eastAsia" w:cs="Times New Roman"/>
          <w:sz w:val="21"/>
          <w:szCs w:val="21"/>
        </w:rPr>
        <w:t>(</w:t>
      </w:r>
      <w:r>
        <w:rPr>
          <w:rFonts w:cs="Times New Roman"/>
          <w:sz w:val="21"/>
          <w:szCs w:val="21"/>
        </w:rPr>
        <w:t>1)可化为</w:t>
      </w:r>
    </w:p>
    <w:p>
      <w:pPr>
        <w:spacing w:line="120" w:lineRule="auto"/>
        <w:ind w:firstLine="420"/>
        <w:jc w:val="right"/>
        <w:textAlignment w:val="center"/>
        <w:rPr>
          <w:rFonts w:cs="Times New Roman"/>
          <w:sz w:val="21"/>
          <w:szCs w:val="21"/>
        </w:rPr>
      </w:pPr>
      <w:r>
        <w:rPr>
          <w:rFonts w:cs="Times New Roman"/>
          <w:sz w:val="21"/>
          <w:szCs w:val="21"/>
        </w:rPr>
        <w:object>
          <v:shape id="_x0000_i1027" o:spt="75" type="#_x0000_t75" style="height:28.25pt;width:79.75pt;" o:ole="t" filled="f" o:preferrelative="t" stroked="f" coordsize="21600,21600">
            <v:path/>
            <v:fill on="f" focussize="0,0"/>
            <v:stroke on="f" joinstyle="miter"/>
            <v:imagedata r:id="rId20" o:title=""/>
            <o:lock v:ext="edit" aspectratio="t"/>
            <w10:wrap type="none"/>
            <w10:anchorlock/>
          </v:shape>
          <o:OLEObject Type="Embed" ProgID="Equation.DSMT4" ShapeID="_x0000_i1027" DrawAspect="Content" ObjectID="_1468075727" r:id="rId19">
            <o:LockedField>false</o:LockedField>
          </o:OLEObject>
        </w:object>
      </w:r>
      <w:r>
        <w:rPr>
          <w:rFonts w:cs="Times New Roman"/>
          <w:sz w:val="21"/>
          <w:szCs w:val="21"/>
        </w:rPr>
        <w:t xml:space="preserve">              </w:t>
      </w:r>
      <w:r>
        <w:rPr>
          <w:rFonts w:hint="eastAsia" w:cs="Times New Roman"/>
          <w:sz w:val="21"/>
          <w:szCs w:val="21"/>
        </w:rPr>
        <w:t>(</w:t>
      </w:r>
      <w:r>
        <w:rPr>
          <w:rFonts w:cs="Times New Roman"/>
          <w:sz w:val="21"/>
          <w:szCs w:val="21"/>
        </w:rPr>
        <w:t>2)</w:t>
      </w:r>
    </w:p>
    <w:p>
      <w:pPr>
        <w:spacing w:line="120" w:lineRule="auto"/>
        <w:ind w:firstLine="0" w:firstLineChars="0"/>
        <w:textAlignment w:val="center"/>
        <w:rPr>
          <w:rFonts w:cs="Times New Roman"/>
          <w:sz w:val="21"/>
          <w:szCs w:val="21"/>
        </w:rPr>
      </w:pPr>
      <w:r>
        <w:rPr>
          <w:rFonts w:cs="Times New Roman"/>
          <w:sz w:val="21"/>
          <w:szCs w:val="21"/>
        </w:rPr>
        <w:t>式中：</w:t>
      </w:r>
      <w:r>
        <w:rPr>
          <w:rFonts w:cs="Times New Roman"/>
          <w:sz w:val="21"/>
          <w:szCs w:val="21"/>
        </w:rPr>
        <w:object>
          <v:shape id="_x0000_i1028" o:spt="75" type="#_x0000_t75" style="height:11.4pt;width:10.05pt;" o:ole="t" filled="f" o:preferrelative="t" stroked="f" coordsize="21600,21600">
            <v:path/>
            <v:fill on="f" focussize="0,0"/>
            <v:stroke on="f" joinstyle="miter"/>
            <v:imagedata r:id="rId22" o:title=""/>
            <o:lock v:ext="edit" aspectratio="t"/>
            <w10:wrap type="none"/>
            <w10:anchorlock/>
          </v:shape>
          <o:OLEObject Type="Embed" ProgID="Equation.DSMT4" ShapeID="_x0000_i1028" DrawAspect="Content" ObjectID="_1468075728" r:id="rId21">
            <o:LockedField>false</o:LockedField>
          </o:OLEObject>
        </w:object>
      </w:r>
      <w:r>
        <w:rPr>
          <w:rFonts w:hint="eastAsia" w:cs="Times New Roman"/>
          <w:sz w:val="21"/>
          <w:szCs w:val="21"/>
        </w:rPr>
        <w:t>为</w:t>
      </w:r>
      <w:r>
        <w:rPr>
          <w:rFonts w:cs="Times New Roman"/>
          <w:sz w:val="21"/>
          <w:szCs w:val="21"/>
        </w:rPr>
        <w:t>对应流体密度；u，v，w</w:t>
      </w:r>
      <w:r>
        <w:rPr>
          <w:rFonts w:hint="eastAsia" w:cs="Times New Roman"/>
          <w:sz w:val="21"/>
          <w:szCs w:val="21"/>
        </w:rPr>
        <w:t>为</w:t>
      </w:r>
      <w:r>
        <w:rPr>
          <w:rFonts w:cs="Times New Roman"/>
          <w:sz w:val="21"/>
          <w:szCs w:val="21"/>
        </w:rPr>
        <w:t>流场中流体质点速度</w:t>
      </w:r>
      <w:r>
        <w:rPr>
          <w:rFonts w:cs="Times New Roman"/>
          <w:sz w:val="21"/>
          <w:szCs w:val="21"/>
        </w:rPr>
        <w:object>
          <v:shape id="_x0000_i1029" o:spt="75" type="#_x0000_t75" style="height:12.75pt;width:10.5pt;" o:ole="t" filled="f" o:preferrelative="t" stroked="f" coordsize="21600,21600">
            <v:path/>
            <v:fill on="f" focussize="0,0"/>
            <v:stroke on="f" joinstyle="miter"/>
            <v:imagedata r:id="rId24" o:title=""/>
            <o:lock v:ext="edit" aspectratio="t"/>
            <w10:wrap type="none"/>
            <w10:anchorlock/>
          </v:shape>
          <o:OLEObject Type="Embed" ProgID="Equation.DSMT4" ShapeID="_x0000_i1029" DrawAspect="Content" ObjectID="_1468075729" r:id="rId23">
            <o:LockedField>false</o:LockedField>
          </o:OLEObject>
        </w:object>
      </w:r>
      <w:r>
        <w:rPr>
          <w:rFonts w:cs="Times New Roman"/>
          <w:sz w:val="21"/>
          <w:szCs w:val="21"/>
        </w:rPr>
        <w:t>在x，y，z方向上的分量。</w:t>
      </w:r>
    </w:p>
    <w:p>
      <w:pPr>
        <w:ind w:firstLine="0" w:firstLineChars="0"/>
        <w:outlineLvl w:val="1"/>
        <w:rPr>
          <w:rFonts w:eastAsia="黑体" w:cs="Times New Roman"/>
          <w:b/>
          <w:sz w:val="21"/>
          <w:szCs w:val="21"/>
        </w:rPr>
      </w:pPr>
      <w:r>
        <w:rPr>
          <w:rFonts w:eastAsia="黑体" w:cs="Times New Roman"/>
          <w:b/>
          <w:sz w:val="21"/>
          <w:szCs w:val="21"/>
        </w:rPr>
        <w:t xml:space="preserve">1.2 </w:t>
      </w:r>
      <w:r>
        <w:rPr>
          <w:rFonts w:eastAsia="黑体" w:cs="Times New Roman"/>
          <w:sz w:val="21"/>
          <w:szCs w:val="21"/>
        </w:rPr>
        <w:t>湍流模型</w:t>
      </w:r>
    </w:p>
    <w:p>
      <w:pPr>
        <w:ind w:firstLine="420"/>
        <w:rPr>
          <w:rFonts w:cs="Times New Roman"/>
          <w:sz w:val="21"/>
          <w:szCs w:val="21"/>
        </w:rPr>
      </w:pPr>
      <w:r>
        <w:rPr>
          <w:rFonts w:cs="Times New Roman"/>
          <w:sz w:val="21"/>
          <w:szCs w:val="21"/>
        </w:rPr>
        <w:t>为使流体控制方程封闭需要引进湍流模型，本文选取比较适合于船舶绕流这样的复杂流动的SST k-ω湍流模式。SST k-ω模式由Menter F R</w:t>
      </w:r>
      <w:r>
        <w:rPr>
          <w:rFonts w:cs="Times New Roman"/>
          <w:sz w:val="21"/>
          <w:szCs w:val="21"/>
          <w:vertAlign w:val="superscript"/>
        </w:rPr>
        <w:t>[10]</w:t>
      </w:r>
      <w:r>
        <w:rPr>
          <w:rFonts w:cs="Times New Roman"/>
          <w:sz w:val="21"/>
          <w:szCs w:val="21"/>
        </w:rPr>
        <w:t>于1993年提出，它结合了Standard k-ω在近壁区域的准确和k-ε模式远场独立的自由流动，即：</w:t>
      </w:r>
    </w:p>
    <w:p>
      <w:pPr>
        <w:spacing w:line="120" w:lineRule="auto"/>
        <w:ind w:left="3543" w:hanging="3542" w:hangingChars="1687"/>
        <w:jc w:val="right"/>
        <w:textAlignment w:val="center"/>
        <w:rPr>
          <w:rFonts w:cs="Times New Roman"/>
          <w:sz w:val="21"/>
          <w:szCs w:val="21"/>
        </w:rPr>
      </w:pPr>
      <w:r>
        <w:rPr>
          <w:rFonts w:cs="Times New Roman"/>
          <w:sz w:val="21"/>
          <w:szCs w:val="21"/>
        </w:rPr>
        <w:object>
          <v:shape id="_x0000_i1030" o:spt="75" type="#_x0000_t75" style="height:30.1pt;width:171.8pt;" o:ole="t" filled="f" o:preferrelative="t" stroked="f" coordsize="21600,21600">
            <v:path/>
            <v:fill on="f" focussize="0,0"/>
            <v:stroke on="f" joinstyle="miter"/>
            <v:imagedata r:id="rId26" o:title=""/>
            <o:lock v:ext="edit" aspectratio="t"/>
            <w10:wrap type="none"/>
            <w10:anchorlock/>
          </v:shape>
          <o:OLEObject Type="Embed" ProgID="Equation.DSMT4" ShapeID="_x0000_i1030" DrawAspect="Content" ObjectID="_1468075730" r:id="rId25">
            <o:LockedField>false</o:LockedField>
          </o:OLEObject>
        </w:object>
      </w:r>
      <w:r>
        <w:rPr>
          <w:rFonts w:cs="Times New Roman"/>
          <w:sz w:val="21"/>
          <w:szCs w:val="21"/>
        </w:rPr>
        <w:t xml:space="preserve"> </w:t>
      </w:r>
      <w:r>
        <w:rPr>
          <w:rFonts w:hint="eastAsia" w:cs="Times New Roman"/>
          <w:sz w:val="21"/>
          <w:szCs w:val="21"/>
        </w:rPr>
        <w:t>(</w:t>
      </w:r>
      <w:r>
        <w:rPr>
          <w:rFonts w:cs="Times New Roman"/>
          <w:sz w:val="21"/>
          <w:szCs w:val="21"/>
        </w:rPr>
        <w:t>3)</w:t>
      </w:r>
    </w:p>
    <w:p>
      <w:pPr>
        <w:spacing w:line="120" w:lineRule="auto"/>
        <w:ind w:left="-2" w:leftChars="-1" w:right="-154" w:rightChars="-77" w:firstLine="0" w:firstLineChars="0"/>
        <w:textAlignment w:val="center"/>
        <w:rPr>
          <w:rFonts w:cs="Times New Roman"/>
          <w:sz w:val="21"/>
          <w:szCs w:val="21"/>
        </w:rPr>
      </w:pPr>
      <w:r>
        <w:rPr>
          <w:rFonts w:cs="Times New Roman"/>
          <w:sz w:val="21"/>
          <w:szCs w:val="21"/>
        </w:rPr>
        <w:object>
          <v:shape id="_x0000_i1031" o:spt="75" type="#_x0000_t75" style="height:27.8pt;width:188.65pt;" o:ole="t" filled="f" o:preferrelative="t" stroked="f" coordsize="21600,21600">
            <v:path/>
            <v:fill on="f" focussize="0,0"/>
            <v:stroke on="f" joinstyle="miter"/>
            <v:imagedata r:id="rId28" o:title=""/>
            <o:lock v:ext="edit" aspectratio="t"/>
            <w10:wrap type="none"/>
            <w10:anchorlock/>
          </v:shape>
          <o:OLEObject Type="Embed" ProgID="Equation.DSMT4" ShapeID="_x0000_i1031" DrawAspect="Content" ObjectID="_1468075731" r:id="rId27">
            <o:LockedField>false</o:LockedField>
          </o:OLEObject>
        </w:object>
      </w:r>
      <w:r>
        <w:rPr>
          <w:rFonts w:cs="Times New Roman"/>
          <w:sz w:val="21"/>
          <w:szCs w:val="21"/>
        </w:rPr>
        <w:t>(4)</w:t>
      </w:r>
    </w:p>
    <w:p>
      <w:pPr>
        <w:ind w:firstLine="412"/>
        <w:textAlignment w:val="center"/>
        <w:rPr>
          <w:rFonts w:cs="Times New Roman"/>
          <w:spacing w:val="-2"/>
          <w:sz w:val="21"/>
          <w:szCs w:val="21"/>
        </w:rPr>
      </w:pPr>
      <w:r>
        <w:rPr>
          <w:rFonts w:cs="Times New Roman"/>
          <w:spacing w:val="-2"/>
          <w:sz w:val="21"/>
          <w:szCs w:val="21"/>
        </w:rPr>
        <w:t>其中</w:t>
      </w:r>
      <w:r>
        <w:rPr>
          <w:rFonts w:cs="Times New Roman"/>
          <w:spacing w:val="-2"/>
          <w:sz w:val="21"/>
          <w:szCs w:val="21"/>
        </w:rPr>
        <w:object>
          <v:shape id="_x0000_i1032" o:spt="75" type="#_x0000_t75" style="height:11.4pt;width:5.9pt;" o:ole="t" filled="f" o:preferrelative="t" stroked="f" coordsize="21600,21600">
            <v:path/>
            <v:fill on="f" focussize="0,0"/>
            <v:stroke on="f" joinstyle="miter"/>
            <v:imagedata r:id="rId30" o:title=""/>
            <o:lock v:ext="edit" aspectratio="t"/>
            <w10:wrap type="none"/>
            <w10:anchorlock/>
          </v:shape>
          <o:OLEObject Type="Embed" ProgID="Equation.DSMT4" ShapeID="_x0000_i1032" DrawAspect="Content" ObjectID="_1468075732" r:id="rId29">
            <o:LockedField>false</o:LockedField>
          </o:OLEObject>
        </w:object>
      </w:r>
      <w:r>
        <w:rPr>
          <w:rFonts w:cs="Times New Roman"/>
          <w:spacing w:val="-2"/>
          <w:sz w:val="21"/>
          <w:szCs w:val="21"/>
        </w:rPr>
        <w:t>，</w:t>
      </w:r>
      <w:r>
        <w:rPr>
          <w:rFonts w:cs="Times New Roman"/>
          <w:spacing w:val="-2"/>
          <w:sz w:val="21"/>
          <w:szCs w:val="21"/>
        </w:rPr>
        <w:object>
          <v:shape id="_x0000_i1033" o:spt="75" type="#_x0000_t75" style="height:11.4pt;width:6.4pt;" o:ole="t" filled="f" o:preferrelative="t" stroked="f" coordsize="21600,21600">
            <v:path/>
            <v:fill on="f" focussize="0,0"/>
            <v:stroke on="f" joinstyle="miter"/>
            <v:imagedata r:id="rId32" o:title=""/>
            <o:lock v:ext="edit" aspectratio="t"/>
            <w10:wrap type="none"/>
            <w10:anchorlock/>
          </v:shape>
          <o:OLEObject Type="Embed" ProgID="Equation.DSMT4" ShapeID="_x0000_i1033" DrawAspect="Content" ObjectID="_1468075733" r:id="rId31">
            <o:LockedField>false</o:LockedField>
          </o:OLEObject>
        </w:object>
      </w:r>
      <w:r>
        <w:rPr>
          <w:rFonts w:cs="Times New Roman"/>
          <w:spacing w:val="-2"/>
          <w:sz w:val="21"/>
          <w:szCs w:val="21"/>
        </w:rPr>
        <w:t>的取值范围为（1，2，3），</w:t>
      </w:r>
      <w:r>
        <w:rPr>
          <w:rFonts w:cs="Times New Roman"/>
          <w:spacing w:val="-2"/>
          <w:sz w:val="21"/>
          <w:szCs w:val="21"/>
        </w:rPr>
        <w:object>
          <v:shape id="_x0000_i1034" o:spt="75" type="#_x0000_t75" style="height:14.6pt;width:13.65pt;" o:ole="t" filled="f" o:preferrelative="t" stroked="f" coordsize="21600,21600">
            <v:path/>
            <v:fill on="f" focussize="0,0"/>
            <v:stroke on="f" joinstyle="miter"/>
            <v:imagedata r:id="rId34" o:title=""/>
            <o:lock v:ext="edit" aspectratio="t"/>
            <w10:wrap type="none"/>
            <w10:anchorlock/>
          </v:shape>
          <o:OLEObject Type="Embed" ProgID="Equation.DSMT4" ShapeID="_x0000_i1034" DrawAspect="Content" ObjectID="_1468075734" r:id="rId33">
            <o:LockedField>false</o:LockedField>
          </o:OLEObject>
        </w:object>
      </w:r>
      <w:r>
        <w:rPr>
          <w:rFonts w:cs="Times New Roman"/>
          <w:spacing w:val="-2"/>
          <w:sz w:val="21"/>
          <w:szCs w:val="21"/>
        </w:rPr>
        <w:t>是由于平均速度引起的湍动能</w:t>
      </w:r>
      <w:r>
        <w:rPr>
          <w:rFonts w:cs="Times New Roman"/>
          <w:spacing w:val="-2"/>
          <w:sz w:val="21"/>
          <w:szCs w:val="21"/>
        </w:rPr>
        <w:object>
          <v:shape id="_x0000_i1035" o:spt="75" type="#_x0000_t75" style="height:14.15pt;width:10.05pt;" o:ole="t" filled="f" o:preferrelative="t" stroked="f" coordsize="21600,21600">
            <v:path/>
            <v:fill on="f" focussize="0,0"/>
            <v:stroke on="f" joinstyle="miter"/>
            <v:imagedata r:id="rId36" o:title=""/>
            <o:lock v:ext="edit" aspectratio="t"/>
            <w10:wrap type="none"/>
            <w10:anchorlock/>
          </v:shape>
          <o:OLEObject Type="Embed" ProgID="Equation.DSMT4" ShapeID="_x0000_i1035" DrawAspect="Content" ObjectID="_1468075735" r:id="rId35">
            <o:LockedField>false</o:LockedField>
          </o:OLEObject>
        </w:object>
      </w:r>
      <w:r>
        <w:rPr>
          <w:rFonts w:cs="Times New Roman"/>
          <w:spacing w:val="-2"/>
          <w:sz w:val="21"/>
          <w:szCs w:val="21"/>
        </w:rPr>
        <w:t>的产生项，</w:t>
      </w:r>
      <w:r>
        <w:rPr>
          <w:rFonts w:cs="Times New Roman"/>
          <w:spacing w:val="-2"/>
          <w:sz w:val="21"/>
          <w:szCs w:val="21"/>
        </w:rPr>
        <w:object>
          <v:shape id="_x0000_i1036" o:spt="75" type="#_x0000_t75" style="height:14.6pt;width:14.15pt;" o:ole="t" filled="f" o:preferrelative="t" stroked="f" coordsize="21600,21600">
            <v:path/>
            <v:fill on="f" focussize="0,0"/>
            <v:stroke on="f" joinstyle="miter"/>
            <v:imagedata r:id="rId38" o:title=""/>
            <o:lock v:ext="edit" aspectratio="t"/>
            <w10:wrap type="none"/>
            <w10:anchorlock/>
          </v:shape>
          <o:OLEObject Type="Embed" ProgID="Equation.DSMT4" ShapeID="_x0000_i1036" DrawAspect="Content" ObjectID="_1468075736" r:id="rId37">
            <o:LockedField>false</o:LockedField>
          </o:OLEObject>
        </w:object>
      </w:r>
      <w:r>
        <w:rPr>
          <w:rFonts w:cs="Times New Roman"/>
          <w:spacing w:val="-2"/>
          <w:sz w:val="21"/>
          <w:szCs w:val="21"/>
        </w:rPr>
        <w:t>是</w:t>
      </w:r>
      <w:r>
        <w:rPr>
          <w:rFonts w:cs="Times New Roman"/>
          <w:spacing w:val="-2"/>
          <w:sz w:val="21"/>
          <w:szCs w:val="21"/>
        </w:rPr>
        <w:object>
          <v:shape id="_x0000_i1037" o:spt="75" type="#_x0000_t75" style="height:8.65pt;width:10.05pt;" o:ole="t" filled="f" o:preferrelative="t" stroked="f" coordsize="21600,21600">
            <v:path/>
            <v:fill on="f" focussize="0,0"/>
            <v:stroke on="f" joinstyle="miter"/>
            <v:imagedata r:id="rId40" o:title=""/>
            <o:lock v:ext="edit" aspectratio="t"/>
            <w10:wrap type="none"/>
            <w10:anchorlock/>
          </v:shape>
          <o:OLEObject Type="Embed" ProgID="Equation.DSMT4" ShapeID="_x0000_i1037" DrawAspect="Content" ObjectID="_1468075737" r:id="rId39">
            <o:LockedField>false</o:LockedField>
          </o:OLEObject>
        </w:object>
      </w:r>
      <w:r>
        <w:rPr>
          <w:rFonts w:cs="Times New Roman"/>
          <w:spacing w:val="-2"/>
          <w:sz w:val="21"/>
          <w:szCs w:val="21"/>
        </w:rPr>
        <w:t>的产生项，</w:t>
      </w:r>
      <w:r>
        <w:rPr>
          <w:rFonts w:cs="Times New Roman"/>
          <w:spacing w:val="-2"/>
          <w:sz w:val="21"/>
          <w:szCs w:val="21"/>
        </w:rPr>
        <w:object>
          <v:shape id="_x0000_i1038" o:spt="75" type="#_x0000_t75" style="height:14.6pt;width:12.75pt;" o:ole="t" filled="f" o:preferrelative="t" stroked="f" coordsize="21600,21600">
            <v:path/>
            <v:fill on="f" focussize="0,0"/>
            <v:stroke on="f" joinstyle="miter"/>
            <v:imagedata r:id="rId42" o:title=""/>
            <o:lock v:ext="edit" aspectratio="t"/>
            <w10:wrap type="none"/>
            <w10:anchorlock/>
          </v:shape>
          <o:OLEObject Type="Embed" ProgID="Equation.DSMT4" ShapeID="_x0000_i1038" DrawAspect="Content" ObjectID="_1468075738" r:id="rId41">
            <o:LockedField>false</o:LockedField>
          </o:OLEObject>
        </w:object>
      </w:r>
      <w:r>
        <w:rPr>
          <w:rFonts w:cs="Times New Roman"/>
          <w:spacing w:val="-2"/>
          <w:sz w:val="21"/>
          <w:szCs w:val="21"/>
        </w:rPr>
        <w:t>与</w:t>
      </w:r>
      <w:r>
        <w:rPr>
          <w:rFonts w:cs="Times New Roman"/>
          <w:spacing w:val="-2"/>
          <w:sz w:val="21"/>
          <w:szCs w:val="21"/>
        </w:rPr>
        <w:object>
          <v:shape id="_x0000_i1039" o:spt="75" type="#_x0000_t75" style="height:14.6pt;width:12.75pt;" o:ole="t" filled="f" o:preferrelative="t" stroked="f" coordsize="21600,21600">
            <v:path/>
            <v:fill on="f" focussize="0,0"/>
            <v:stroke on="f" joinstyle="miter"/>
            <v:imagedata r:id="rId44" o:title=""/>
            <o:lock v:ext="edit" aspectratio="t"/>
            <w10:wrap type="none"/>
            <w10:anchorlock/>
          </v:shape>
          <o:OLEObject Type="Embed" ProgID="Equation.DSMT4" ShapeID="_x0000_i1039" DrawAspect="Content" ObjectID="_1468075739" r:id="rId43">
            <o:LockedField>false</o:LockedField>
          </o:OLEObject>
        </w:object>
      </w:r>
      <w:r>
        <w:rPr>
          <w:rFonts w:cs="Times New Roman"/>
          <w:spacing w:val="-2"/>
          <w:sz w:val="21"/>
          <w:szCs w:val="21"/>
        </w:rPr>
        <w:t>分别是</w:t>
      </w:r>
      <w:r>
        <w:rPr>
          <w:rFonts w:cs="Times New Roman"/>
          <w:spacing w:val="-2"/>
          <w:sz w:val="21"/>
          <w:szCs w:val="21"/>
        </w:rPr>
        <w:object>
          <v:shape id="_x0000_i1040" o:spt="75" type="#_x0000_t75" style="height:11.4pt;width:9.1pt;" o:ole="t" filled="f" o:preferrelative="t" stroked="f" coordsize="21600,21600">
            <v:path/>
            <v:fill on="f" focussize="0,0"/>
            <v:stroke on="f" joinstyle="miter"/>
            <v:imagedata r:id="rId36" o:title=""/>
            <o:lock v:ext="edit" aspectratio="t"/>
            <w10:wrap type="none"/>
            <w10:anchorlock/>
          </v:shape>
          <o:OLEObject Type="Embed" ProgID="Equation.DSMT4" ShapeID="_x0000_i1040" DrawAspect="Content" ObjectID="_1468075740" r:id="rId45">
            <o:LockedField>false</o:LockedField>
          </o:OLEObject>
        </w:object>
      </w:r>
      <w:r>
        <w:rPr>
          <w:rFonts w:cs="Times New Roman"/>
          <w:spacing w:val="-2"/>
          <w:sz w:val="21"/>
          <w:szCs w:val="21"/>
        </w:rPr>
        <w:t>与</w:t>
      </w:r>
      <w:r>
        <w:rPr>
          <w:rFonts w:cs="Times New Roman"/>
          <w:spacing w:val="-2"/>
          <w:sz w:val="21"/>
          <w:szCs w:val="21"/>
        </w:rPr>
        <w:object>
          <v:shape id="_x0000_i1041" o:spt="75" type="#_x0000_t75" style="height:8.65pt;width:9.1pt;" o:ole="t" filled="f" o:preferrelative="t" stroked="f" coordsize="21600,21600">
            <v:path/>
            <v:fill on="f" focussize="0,0"/>
            <v:stroke on="f" joinstyle="miter"/>
            <v:imagedata r:id="rId40" o:title=""/>
            <o:lock v:ext="edit" aspectratio="t"/>
            <w10:wrap type="none"/>
            <w10:anchorlock/>
          </v:shape>
          <o:OLEObject Type="Embed" ProgID="Equation.DSMT4" ShapeID="_x0000_i1041" DrawAspect="Content" ObjectID="_1468075741" r:id="rId46">
            <o:LockedField>false</o:LockedField>
          </o:OLEObject>
        </w:object>
      </w:r>
      <w:r>
        <w:rPr>
          <w:rFonts w:cs="Times New Roman"/>
          <w:spacing w:val="-2"/>
          <w:sz w:val="21"/>
          <w:szCs w:val="21"/>
        </w:rPr>
        <w:t>的有效扩散项，</w:t>
      </w:r>
      <w:r>
        <w:rPr>
          <w:rFonts w:cs="Times New Roman"/>
          <w:spacing w:val="-2"/>
          <w:sz w:val="21"/>
          <w:szCs w:val="21"/>
        </w:rPr>
        <w:object>
          <v:shape id="_x0000_i1042" o:spt="75" type="#_x0000_t75" style="height:14.6pt;width:10.5pt;" o:ole="t" filled="f" o:preferrelative="t" stroked="f" coordsize="21600,21600">
            <v:path/>
            <v:fill on="f" focussize="0,0"/>
            <v:stroke on="f" joinstyle="miter"/>
            <v:imagedata r:id="rId48" o:title=""/>
            <o:lock v:ext="edit" aspectratio="t"/>
            <w10:wrap type="none"/>
            <w10:anchorlock/>
          </v:shape>
          <o:OLEObject Type="Embed" ProgID="Equation.DSMT4" ShapeID="_x0000_i1042" DrawAspect="Content" ObjectID="_1468075742" r:id="rId47">
            <o:LockedField>false</o:LockedField>
          </o:OLEObject>
        </w:object>
      </w:r>
      <w:r>
        <w:rPr>
          <w:rFonts w:cs="Times New Roman"/>
          <w:spacing w:val="-2"/>
          <w:sz w:val="21"/>
          <w:szCs w:val="21"/>
        </w:rPr>
        <w:t>与</w:t>
      </w:r>
      <w:r>
        <w:rPr>
          <w:rFonts w:cs="Times New Roman"/>
          <w:spacing w:val="-2"/>
          <w:sz w:val="21"/>
          <w:szCs w:val="21"/>
        </w:rPr>
        <w:object>
          <v:shape id="_x0000_i1043" o:spt="75" type="#_x0000_t75" style="height:14.6pt;width:11.4pt;" o:ole="t" filled="f" o:preferrelative="t" stroked="f" coordsize="21600,21600">
            <v:path/>
            <v:fill on="f" focussize="0,0"/>
            <v:stroke on="f" joinstyle="miter"/>
            <v:imagedata r:id="rId50" o:title=""/>
            <o:lock v:ext="edit" aspectratio="t"/>
            <w10:wrap type="none"/>
            <w10:anchorlock/>
          </v:shape>
          <o:OLEObject Type="Embed" ProgID="Equation.DSMT4" ShapeID="_x0000_i1043" DrawAspect="Content" ObjectID="_1468075743" r:id="rId49">
            <o:LockedField>false</o:LockedField>
          </o:OLEObject>
        </w:object>
      </w:r>
      <w:r>
        <w:rPr>
          <w:rFonts w:cs="Times New Roman"/>
          <w:spacing w:val="-2"/>
          <w:sz w:val="21"/>
          <w:szCs w:val="21"/>
        </w:rPr>
        <w:t>分别是</w:t>
      </w:r>
      <w:r>
        <w:rPr>
          <w:rFonts w:cs="Times New Roman"/>
          <w:spacing w:val="-2"/>
          <w:sz w:val="21"/>
          <w:szCs w:val="21"/>
        </w:rPr>
        <w:object>
          <v:shape id="_x0000_i1044" o:spt="75" type="#_x0000_t75" style="height:11.4pt;width:9.1pt;" o:ole="t" filled="f" o:preferrelative="t" stroked="f" coordsize="21600,21600">
            <v:path/>
            <v:fill on="f" focussize="0,0"/>
            <v:stroke on="f" joinstyle="miter"/>
            <v:imagedata r:id="rId36" o:title=""/>
            <o:lock v:ext="edit" aspectratio="t"/>
            <w10:wrap type="none"/>
            <w10:anchorlock/>
          </v:shape>
          <o:OLEObject Type="Embed" ProgID="Equation.DSMT4" ShapeID="_x0000_i1044" DrawAspect="Content" ObjectID="_1468075744" r:id="rId51">
            <o:LockedField>false</o:LockedField>
          </o:OLEObject>
        </w:object>
      </w:r>
      <w:r>
        <w:rPr>
          <w:rFonts w:cs="Times New Roman"/>
          <w:spacing w:val="-2"/>
          <w:sz w:val="21"/>
          <w:szCs w:val="21"/>
        </w:rPr>
        <w:t>与</w:t>
      </w:r>
      <w:r>
        <w:rPr>
          <w:rFonts w:cs="Times New Roman"/>
          <w:spacing w:val="-2"/>
          <w:sz w:val="21"/>
          <w:szCs w:val="21"/>
        </w:rPr>
        <w:object>
          <v:shape id="_x0000_i1045" o:spt="75" type="#_x0000_t75" style="height:8.65pt;width:9.1pt;" o:ole="t" filled="f" o:preferrelative="t" stroked="f" coordsize="21600,21600">
            <v:path/>
            <v:fill on="f" focussize="0,0"/>
            <v:stroke on="f" joinstyle="miter"/>
            <v:imagedata r:id="rId40" o:title=""/>
            <o:lock v:ext="edit" aspectratio="t"/>
            <w10:wrap type="none"/>
            <w10:anchorlock/>
          </v:shape>
          <o:OLEObject Type="Embed" ProgID="Equation.DSMT4" ShapeID="_x0000_i1045" DrawAspect="Content" ObjectID="_1468075745" r:id="rId52">
            <o:LockedField>false</o:LockedField>
          </o:OLEObject>
        </w:object>
      </w:r>
      <w:r>
        <w:rPr>
          <w:rFonts w:cs="Times New Roman"/>
          <w:spacing w:val="-2"/>
          <w:sz w:val="21"/>
          <w:szCs w:val="21"/>
        </w:rPr>
        <w:t>的湍动耗散项，</w:t>
      </w:r>
      <w:r>
        <w:rPr>
          <w:rFonts w:cs="Times New Roman"/>
          <w:spacing w:val="-2"/>
          <w:sz w:val="21"/>
          <w:szCs w:val="21"/>
        </w:rPr>
        <w:object>
          <v:shape id="_x0000_i1046" o:spt="75" type="#_x0000_t75" style="height:14.6pt;width:14.15pt;" o:ole="t" filled="f" o:preferrelative="t" stroked="f" coordsize="21600,21600">
            <v:path/>
            <v:fill on="f" focussize="0,0"/>
            <v:stroke on="f" joinstyle="miter"/>
            <v:imagedata r:id="rId54" o:title=""/>
            <o:lock v:ext="edit" aspectratio="t"/>
            <w10:wrap type="none"/>
            <w10:anchorlock/>
          </v:shape>
          <o:OLEObject Type="Embed" ProgID="Equation.DSMT4" ShapeID="_x0000_i1046" DrawAspect="Content" ObjectID="_1468075746" r:id="rId53">
            <o:LockedField>false</o:LockedField>
          </o:OLEObject>
        </w:object>
      </w:r>
      <w:r>
        <w:rPr>
          <w:rFonts w:cs="Times New Roman"/>
          <w:spacing w:val="-2"/>
          <w:sz w:val="21"/>
          <w:szCs w:val="21"/>
        </w:rPr>
        <w:t>是交叉扩散项，</w:t>
      </w:r>
      <w:r>
        <w:rPr>
          <w:rFonts w:cs="Times New Roman"/>
          <w:spacing w:val="-2"/>
          <w:sz w:val="21"/>
          <w:szCs w:val="21"/>
        </w:rPr>
        <w:object>
          <v:shape id="_x0000_i1047" o:spt="75" type="#_x0000_t75" style="height:14.6pt;width:11.4pt;" o:ole="t" filled="f" o:preferrelative="t" stroked="f" coordsize="21600,21600">
            <v:path/>
            <v:fill on="f" focussize="0,0"/>
            <v:stroke on="f" joinstyle="miter"/>
            <v:imagedata r:id="rId56" o:title=""/>
            <o:lock v:ext="edit" aspectratio="t"/>
            <w10:wrap type="none"/>
            <w10:anchorlock/>
          </v:shape>
          <o:OLEObject Type="Embed" ProgID="Equation.DSMT4" ShapeID="_x0000_i1047" DrawAspect="Content" ObjectID="_1468075747" r:id="rId55">
            <o:LockedField>false</o:LockedField>
          </o:OLEObject>
        </w:object>
      </w:r>
      <w:r>
        <w:rPr>
          <w:rFonts w:cs="Times New Roman"/>
          <w:spacing w:val="-2"/>
          <w:sz w:val="21"/>
          <w:szCs w:val="21"/>
        </w:rPr>
        <w:t>与</w:t>
      </w:r>
      <w:r>
        <w:rPr>
          <w:rFonts w:cs="Times New Roman"/>
          <w:spacing w:val="-2"/>
          <w:sz w:val="21"/>
          <w:szCs w:val="21"/>
        </w:rPr>
        <w:object>
          <v:shape id="_x0000_i1048" o:spt="75" type="#_x0000_t75" style="height:14.6pt;width:12.75pt;" o:ole="t" filled="f" o:preferrelative="t" stroked="f" coordsize="21600,21600">
            <v:path/>
            <v:fill on="f" focussize="0,0"/>
            <v:stroke on="f" joinstyle="miter"/>
            <v:imagedata r:id="rId58" o:title=""/>
            <o:lock v:ext="edit" aspectratio="t"/>
            <w10:wrap type="none"/>
            <w10:anchorlock/>
          </v:shape>
          <o:OLEObject Type="Embed" ProgID="Equation.DSMT4" ShapeID="_x0000_i1048" DrawAspect="Content" ObjectID="_1468075748" r:id="rId57">
            <o:LockedField>false</o:LockedField>
          </o:OLEObject>
        </w:object>
      </w:r>
      <w:r>
        <w:rPr>
          <w:rFonts w:cs="Times New Roman"/>
          <w:spacing w:val="-2"/>
          <w:sz w:val="21"/>
          <w:szCs w:val="21"/>
        </w:rPr>
        <w:t>是自定义源项。</w:t>
      </w:r>
    </w:p>
    <w:p>
      <w:pPr>
        <w:ind w:firstLine="0" w:firstLineChars="0"/>
        <w:rPr>
          <w:rFonts w:eastAsia="黑体" w:cs="Times New Roman"/>
          <w:b/>
          <w:sz w:val="21"/>
          <w:szCs w:val="21"/>
        </w:rPr>
      </w:pPr>
      <w:r>
        <w:rPr>
          <w:rFonts w:eastAsia="黑体" w:cs="Times New Roman"/>
          <w:b/>
          <w:sz w:val="21"/>
          <w:szCs w:val="21"/>
        </w:rPr>
        <w:t xml:space="preserve">1.3  </w:t>
      </w:r>
      <w:r>
        <w:rPr>
          <w:rFonts w:eastAsia="黑体" w:cs="Times New Roman"/>
          <w:sz w:val="21"/>
          <w:szCs w:val="21"/>
        </w:rPr>
        <w:t>自由液面捕捉法</w:t>
      </w:r>
    </w:p>
    <w:p>
      <w:pPr>
        <w:spacing w:line="120" w:lineRule="auto"/>
        <w:ind w:firstLine="412"/>
        <w:textAlignment w:val="center"/>
        <w:rPr>
          <w:rFonts w:cs="Times New Roman"/>
          <w:spacing w:val="-2"/>
          <w:sz w:val="21"/>
          <w:szCs w:val="21"/>
        </w:rPr>
      </w:pPr>
      <w:r>
        <w:rPr>
          <w:rFonts w:cs="Times New Roman"/>
          <w:spacing w:val="-2"/>
          <w:sz w:val="21"/>
          <w:szCs w:val="21"/>
        </w:rPr>
        <w:t>RANS方程求解带自由液面的扰流问题中常采用VOF模型，但不能很好地处理像波浪破碎这样复杂地自由液面变化特征。针对这些问题，本文采用基于全六面体非结构化网格技术求解粘性雷诺平均方程的自由液面，</w:t>
      </w:r>
      <w:r>
        <w:rPr>
          <w:rFonts w:hint="eastAsia" w:cs="Times New Roman"/>
          <w:spacing w:val="-2"/>
          <w:sz w:val="21"/>
          <w:szCs w:val="21"/>
        </w:rPr>
        <w:t>即</w:t>
      </w:r>
      <w:r>
        <w:rPr>
          <w:rFonts w:cs="Times New Roman"/>
          <w:spacing w:val="-2"/>
          <w:sz w:val="21"/>
          <w:szCs w:val="21"/>
        </w:rPr>
        <w:t>自由液面捕捉法，即把流体和空气当作单一流体同时计算，该单一流体性能（密度ρ、粘性系数</w:t>
      </w:r>
      <w:r>
        <w:rPr>
          <w:rFonts w:cs="Times New Roman"/>
          <w:spacing w:val="-2"/>
          <w:sz w:val="21"/>
          <w:szCs w:val="21"/>
        </w:rPr>
        <w:object>
          <v:shape id="_x0000_i1049" o:spt="75" type="#_x0000_t75" style="height:10.5pt;width:10.05pt;" o:ole="t" filled="f" o:preferrelative="t" stroked="f" coordsize="21600,21600">
            <v:path/>
            <v:fill on="f" focussize="0,0"/>
            <v:stroke on="f" joinstyle="miter"/>
            <v:imagedata r:id="rId60" o:title=""/>
            <o:lock v:ext="edit" aspectratio="t"/>
            <w10:wrap type="none"/>
            <w10:anchorlock/>
          </v:shape>
          <o:OLEObject Type="Embed" ProgID="Equation.DSMT4" ShapeID="_x0000_i1049" DrawAspect="Content" ObjectID="_1468075749" r:id="rId59">
            <o:LockedField>false</o:LockedField>
          </o:OLEObject>
        </w:object>
      </w:r>
      <w:r>
        <w:rPr>
          <w:rFonts w:cs="Times New Roman"/>
          <w:spacing w:val="-2"/>
          <w:sz w:val="21"/>
          <w:szCs w:val="21"/>
        </w:rPr>
        <w:t>）在空间的变化取决于一个构成函数c。通过求解以下运动方程来确定构成函数c：</w:t>
      </w:r>
    </w:p>
    <w:p>
      <w:pPr>
        <w:ind w:right="83" w:firstLine="0" w:firstLineChars="0"/>
        <w:jc w:val="right"/>
        <w:rPr>
          <w:rFonts w:cs="Times New Roman"/>
        </w:rPr>
      </w:pPr>
      <w:r>
        <w:rPr>
          <w:rFonts w:cs="Times New Roman"/>
          <w:position w:val="-24"/>
        </w:rPr>
        <w:object>
          <v:shape id="_x0000_i1050" o:spt="75" type="#_x0000_t75" style="height:25.95pt;width:135.8pt;" o:ole="t" filled="f" o:preferrelative="t" stroked="f" coordsize="21600,21600">
            <v:path/>
            <v:fill on="f" focussize="0,0"/>
            <v:stroke on="f" joinstyle="miter"/>
            <v:imagedata r:id="rId62" o:title=""/>
            <o:lock v:ext="edit" aspectratio="t"/>
            <w10:wrap type="none"/>
            <w10:anchorlock/>
          </v:shape>
          <o:OLEObject Type="Embed" ProgID="Equation.DSMT4" ShapeID="_x0000_i1050" DrawAspect="Content" ObjectID="_1468075750" r:id="rId61">
            <o:LockedField>false</o:LockedField>
          </o:OLEObject>
        </w:object>
      </w:r>
      <w:r>
        <w:rPr>
          <w:rFonts w:cs="Times New Roman"/>
        </w:rPr>
        <w:t xml:space="preserve">   （</w:t>
      </w:r>
      <w:r>
        <w:rPr>
          <w:rFonts w:cs="Times New Roman"/>
          <w:sz w:val="21"/>
          <w:szCs w:val="21"/>
        </w:rPr>
        <w:t>5</w:t>
      </w:r>
      <w:r>
        <w:rPr>
          <w:rFonts w:cs="Times New Roman"/>
        </w:rPr>
        <w:t>）</w:t>
      </w:r>
    </w:p>
    <w:p>
      <w:pPr>
        <w:ind w:firstLine="0" w:firstLineChars="0"/>
        <w:rPr>
          <w:rFonts w:cs="Times New Roman"/>
        </w:rPr>
      </w:pPr>
      <w:r>
        <w:rPr>
          <w:rFonts w:cs="Times New Roman"/>
        </w:rPr>
        <w:t>式中：</w:t>
      </w:r>
      <w:r>
        <w:rPr>
          <w:rFonts w:cs="Times New Roman"/>
          <w:position w:val="-6"/>
        </w:rPr>
        <w:object>
          <v:shape id="_x0000_i1051" o:spt="75" type="#_x0000_t75" style="height:12.75pt;width:11.4pt;" o:ole="t" filled="f" o:preferrelative="t" stroked="f" coordsize="21600,21600">
            <v:path/>
            <v:fill on="f" focussize="0,0"/>
            <v:stroke on="f" joinstyle="miter"/>
            <v:imagedata r:id="rId64" o:title=""/>
            <o:lock v:ext="edit" aspectratio="t"/>
            <w10:wrap type="none"/>
            <w10:anchorlock/>
          </v:shape>
          <o:OLEObject Type="Embed" ProgID="Equation.DSMT4" ShapeID="_x0000_i1051" DrawAspect="Content" ObjectID="_1468075751" r:id="rId63">
            <o:LockedField>false</o:LockedField>
          </o:OLEObject>
        </w:object>
      </w:r>
      <w:r>
        <w:rPr>
          <w:rFonts w:hint="eastAsia" w:cs="Times New Roman"/>
        </w:rPr>
        <w:t>为</w:t>
      </w:r>
      <w:r>
        <w:rPr>
          <w:rFonts w:cs="Times New Roman"/>
        </w:rPr>
        <w:t>控制体；</w:t>
      </w:r>
      <w:r>
        <w:rPr>
          <w:rFonts w:cs="Times New Roman"/>
          <w:position w:val="-6"/>
        </w:rPr>
        <w:object>
          <v:shape id="_x0000_i1052" o:spt="75" type="#_x0000_t75" style="height:11.85pt;width:8.65pt;" o:ole="t" filled="f" o:preferrelative="t" stroked="f" coordsize="21600,21600">
            <v:path/>
            <v:fill on="f" focussize="0,0"/>
            <v:stroke on="f" joinstyle="miter"/>
            <v:imagedata r:id="rId66" o:title=""/>
            <o:lock v:ext="edit" aspectratio="t"/>
            <w10:wrap type="none"/>
            <w10:anchorlock/>
          </v:shape>
          <o:OLEObject Type="Embed" ProgID="Equation.DSMT4" ShapeID="_x0000_i1052" DrawAspect="Content" ObjectID="_1468075752" r:id="rId65">
            <o:LockedField>false</o:LockedField>
          </o:OLEObject>
        </w:object>
      </w:r>
      <w:r>
        <w:rPr>
          <w:rFonts w:hint="eastAsia" w:cs="Times New Roman"/>
        </w:rPr>
        <w:t>为</w:t>
      </w:r>
      <w:r>
        <w:rPr>
          <w:rFonts w:cs="Times New Roman"/>
        </w:rPr>
        <w:t>围成控制体的面积；</w:t>
      </w:r>
      <w:r>
        <w:rPr>
          <w:rFonts w:cs="Times New Roman"/>
          <w:position w:val="-6"/>
        </w:rPr>
        <w:object>
          <v:shape id="_x0000_i1053" o:spt="75" type="#_x0000_t75" style="height:11.4pt;width:11.4pt;" o:ole="t" filled="f" o:preferrelative="t" stroked="f" coordsize="21600,21600">
            <v:path/>
            <v:fill on="f" focussize="0,0"/>
            <v:stroke on="f" joinstyle="miter"/>
            <v:imagedata r:id="rId68" o:title=""/>
            <o:lock v:ext="edit" aspectratio="t"/>
            <w10:wrap type="none"/>
            <w10:anchorlock/>
          </v:shape>
          <o:OLEObject Type="Embed" ProgID="Equation.DSMT4" ShapeID="_x0000_i1053" DrawAspect="Content" ObjectID="_1468075753" r:id="rId67">
            <o:LockedField>false</o:LockedField>
          </o:OLEObject>
        </w:object>
      </w:r>
      <w:r>
        <w:rPr>
          <w:rFonts w:hint="eastAsia" w:cs="Times New Roman"/>
        </w:rPr>
        <w:t>为</w:t>
      </w:r>
      <w:r>
        <w:rPr>
          <w:rFonts w:cs="Times New Roman"/>
        </w:rPr>
        <w:t>速度；</w:t>
      </w:r>
      <w:r>
        <w:rPr>
          <w:rFonts w:cs="Times New Roman"/>
          <w:position w:val="-12"/>
        </w:rPr>
        <w:object>
          <v:shape id="_x0000_i1054" o:spt="75" type="#_x0000_t75" style="height:14.15pt;width:14.15pt;" o:ole="t" filled="f" o:preferrelative="t" stroked="f" coordsize="21600,21600">
            <v:path/>
            <v:fill on="f" focussize="0,0"/>
            <v:stroke on="f" joinstyle="miter"/>
            <v:imagedata r:id="rId70" o:title=""/>
            <o:lock v:ext="edit" aspectratio="t"/>
            <w10:wrap type="none"/>
            <w10:anchorlock/>
          </v:shape>
          <o:OLEObject Type="Embed" ProgID="Equation.DSMT4" ShapeID="_x0000_i1054" DrawAspect="Content" ObjectID="_1468075754" r:id="rId69">
            <o:LockedField>false</o:LockedField>
          </o:OLEObject>
        </w:object>
      </w:r>
      <w:r>
        <w:rPr>
          <w:rFonts w:hint="eastAsia" w:cs="Times New Roman"/>
        </w:rPr>
        <w:t>为</w:t>
      </w:r>
      <w:r>
        <w:rPr>
          <w:rFonts w:cs="Times New Roman"/>
          <w:position w:val="-6"/>
        </w:rPr>
        <w:object>
          <v:shape id="_x0000_i1055" o:spt="75" type="#_x0000_t75" style="height:11.4pt;width:8.65pt;" o:ole="t" filled="f" o:preferrelative="t" stroked="f" coordsize="21600,21600">
            <v:path/>
            <v:fill on="f" focussize="0,0"/>
            <v:stroke on="f" joinstyle="miter"/>
            <v:imagedata r:id="rId72" o:title=""/>
            <o:lock v:ext="edit" aspectratio="t"/>
            <w10:wrap type="none"/>
            <w10:anchorlock/>
          </v:shape>
          <o:OLEObject Type="Embed" ProgID="Equation.DSMT4" ShapeID="_x0000_i1055" DrawAspect="Content" ObjectID="_1468075755" r:id="rId71">
            <o:LockedField>false</o:LockedField>
          </o:OLEObject>
        </w:object>
      </w:r>
      <w:r>
        <w:rPr>
          <w:rFonts w:cs="Times New Roman"/>
        </w:rPr>
        <w:t>上</w:t>
      </w:r>
      <w:r>
        <w:rPr>
          <w:rFonts w:cs="Times New Roman"/>
          <w:position w:val="-6"/>
        </w:rPr>
        <w:object>
          <v:shape id="_x0000_i1056" o:spt="75" type="#_x0000_t75" style="height:8.65pt;width:9.1pt;" o:ole="t" filled="f" o:preferrelative="t" stroked="f" coordsize="21600,21600">
            <v:path/>
            <v:fill on="f" focussize="0,0"/>
            <v:stroke on="f" joinstyle="miter"/>
            <v:imagedata r:id="rId74" o:title=""/>
            <o:lock v:ext="edit" aspectratio="t"/>
            <w10:wrap type="none"/>
            <w10:anchorlock/>
          </v:shape>
          <o:OLEObject Type="Embed" ProgID="Equation.DSMT4" ShapeID="_x0000_i1056" DrawAspect="Content" ObjectID="_1468075756" r:id="rId73">
            <o:LockedField>false</o:LockedField>
          </o:OLEObject>
        </w:object>
      </w:r>
      <w:r>
        <w:rPr>
          <w:rFonts w:cs="Times New Roman"/>
        </w:rPr>
        <w:t>方向的速度。</w:t>
      </w:r>
    </w:p>
    <w:p>
      <w:pPr>
        <w:ind w:firstLine="0" w:firstLineChars="0"/>
        <w:outlineLvl w:val="0"/>
        <w:rPr>
          <w:rFonts w:eastAsia="仿宋" w:cs="Times New Roman"/>
          <w:b/>
          <w:sz w:val="28"/>
          <w:szCs w:val="28"/>
        </w:rPr>
      </w:pPr>
      <w:r>
        <w:rPr>
          <w:rFonts w:eastAsia="仿宋" w:cs="Times New Roman"/>
          <w:b/>
          <w:sz w:val="28"/>
          <w:szCs w:val="28"/>
        </w:rPr>
        <w:t xml:space="preserve">2  </w:t>
      </w:r>
      <w:r>
        <w:rPr>
          <w:rFonts w:eastAsia="仿宋" w:cs="Times New Roman"/>
          <w:sz w:val="28"/>
          <w:szCs w:val="28"/>
        </w:rPr>
        <w:t>FINE/Marine简介</w:t>
      </w:r>
    </w:p>
    <w:p>
      <w:pPr>
        <w:ind w:firstLine="412"/>
        <w:rPr>
          <w:rFonts w:cs="Times New Roman"/>
          <w:spacing w:val="-2"/>
          <w:sz w:val="21"/>
          <w:szCs w:val="21"/>
        </w:rPr>
      </w:pPr>
      <w:r>
        <w:rPr>
          <w:rFonts w:cs="Times New Roman"/>
          <w:spacing w:val="-2"/>
          <w:sz w:val="21"/>
          <w:szCs w:val="21"/>
        </w:rPr>
        <w:t>Fine/Marine软件是由 NUMECA 公司开发的一款专业 CFD 软件包，可以快捷、准确的解决船舶与海洋工程领域的船舶操纵性、耐波性、阻力与流动等问题。该软件运作流程主要有构造初始几何模型、划分全六面体非结构网格、粘性流场求解器以及后处理流场分析，主要软件构成由下图所示。</w:t>
      </w:r>
    </w:p>
    <w:p>
      <w:pPr>
        <w:spacing w:line="120" w:lineRule="auto"/>
        <w:ind w:firstLine="0" w:firstLineChars="0"/>
        <w:rPr>
          <w:rFonts w:cs="Times New Roman"/>
          <w:spacing w:val="-2"/>
          <w:sz w:val="21"/>
          <w:szCs w:val="21"/>
        </w:rPr>
      </w:pPr>
      <w:r>
        <w:rPr>
          <w:rFonts w:cs="Times New Roman"/>
          <w:spacing w:val="-2"/>
          <w:sz w:val="21"/>
          <w:szCs w:val="21"/>
        </w:rPr>
        <w:drawing>
          <wp:inline distT="0" distB="0" distL="0" distR="0">
            <wp:extent cx="2568575" cy="974725"/>
            <wp:effectExtent l="0" t="0" r="3175" b="0"/>
            <wp:docPr id="7" name="图片 7" descr="12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23.emf"/>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2613540" cy="991829"/>
                    </a:xfrm>
                    <a:prstGeom prst="rect">
                      <a:avLst/>
                    </a:prstGeom>
                    <a:noFill/>
                    <a:ln>
                      <a:noFill/>
                    </a:ln>
                  </pic:spPr>
                </pic:pic>
              </a:graphicData>
            </a:graphic>
          </wp:inline>
        </w:drawing>
      </w:r>
    </w:p>
    <w:p>
      <w:pPr>
        <w:ind w:firstLine="0" w:firstLineChars="0"/>
        <w:jc w:val="center"/>
        <w:rPr>
          <w:rFonts w:cs="Times New Roman"/>
          <w:spacing w:val="-2"/>
          <w:sz w:val="21"/>
          <w:szCs w:val="21"/>
        </w:rPr>
      </w:pPr>
      <w:r>
        <w:rPr>
          <w:rFonts w:cs="Times New Roman"/>
          <w:spacing w:val="-2"/>
          <w:sz w:val="21"/>
          <w:szCs w:val="21"/>
        </w:rPr>
        <w:t>图1  Fine-marine软件运作流程</w:t>
      </w:r>
    </w:p>
    <w:p>
      <w:pPr>
        <w:ind w:firstLine="412"/>
        <w:rPr>
          <w:rFonts w:cs="Times New Roman"/>
          <w:spacing w:val="-2"/>
          <w:sz w:val="21"/>
          <w:szCs w:val="21"/>
        </w:rPr>
      </w:pPr>
      <w:r>
        <w:rPr>
          <w:rFonts w:cs="Times New Roman"/>
          <w:spacing w:val="-2"/>
          <w:sz w:val="21"/>
          <w:szCs w:val="21"/>
        </w:rPr>
        <w:t>HEXPRESS</w:t>
      </w:r>
      <w:r>
        <w:rPr>
          <w:rFonts w:cs="Times New Roman"/>
          <w:spacing w:val="-2"/>
          <w:sz w:val="21"/>
          <w:szCs w:val="21"/>
          <w:vertAlign w:val="superscript"/>
        </w:rPr>
        <w:t>[11]</w:t>
      </w:r>
      <w:r>
        <w:rPr>
          <w:rFonts w:cs="Times New Roman"/>
          <w:spacing w:val="-2"/>
          <w:sz w:val="21"/>
          <w:szCs w:val="21"/>
        </w:rPr>
        <w:t>采用全六面体非结构网格，可用于任何复杂二维和三维几何体的网格生成，并且采用了八叉树网格拆分方法和由体到面的生成技术，在物面附近网格被适当细化并投影到物面上，从而形成贴体网格，将复杂计算域的网格生成简化为以下几步。</w:t>
      </w:r>
    </w:p>
    <w:p>
      <w:pPr>
        <w:ind w:firstLine="0" w:firstLineChars="0"/>
        <w:jc w:val="center"/>
        <w:rPr>
          <w:rFonts w:cs="Times New Roman"/>
        </w:rPr>
      </w:pPr>
      <w:r>
        <w:rPr>
          <w:rFonts w:cs="Times New Roman"/>
        </w:rPr>
        <w:drawing>
          <wp:inline distT="0" distB="0" distL="0" distR="0">
            <wp:extent cx="2568575" cy="229870"/>
            <wp:effectExtent l="0" t="0" r="3175" b="0"/>
            <wp:docPr id="16" name="图片 16" descr="2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3.em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3699979" cy="331522"/>
                    </a:xfrm>
                    <a:prstGeom prst="rect">
                      <a:avLst/>
                    </a:prstGeom>
                    <a:noFill/>
                    <a:ln>
                      <a:noFill/>
                    </a:ln>
                  </pic:spPr>
                </pic:pic>
              </a:graphicData>
            </a:graphic>
          </wp:inline>
        </w:drawing>
      </w:r>
    </w:p>
    <w:p>
      <w:pPr>
        <w:pStyle w:val="28"/>
        <w:rPr>
          <w:rFonts w:cs="Times New Roman"/>
          <w:b w:val="0"/>
          <w:sz w:val="18"/>
          <w:szCs w:val="18"/>
        </w:rPr>
      </w:pPr>
      <w:r>
        <w:rPr>
          <w:rFonts w:cs="Times New Roman"/>
          <w:b w:val="0"/>
          <w:sz w:val="18"/>
          <w:szCs w:val="18"/>
        </w:rPr>
        <w:t>图2 计算域网格生成方法</w:t>
      </w:r>
    </w:p>
    <w:p>
      <w:pPr>
        <w:ind w:firstLine="412"/>
        <w:rPr>
          <w:rFonts w:cs="Times New Roman"/>
          <w:spacing w:val="-2"/>
          <w:sz w:val="21"/>
          <w:szCs w:val="21"/>
        </w:rPr>
      </w:pPr>
      <w:r>
        <w:rPr>
          <w:rFonts w:cs="Times New Roman"/>
          <w:spacing w:val="-2"/>
          <w:sz w:val="21"/>
          <w:szCs w:val="21"/>
        </w:rPr>
        <w:t>Fine/Marine内置的ISIS-CFD求解器提供的主要功能包括导入网格模型、选定计算模型和离散格式、给定体的运动方式等，而且可以快速、高效地对船舶与海洋结构物的快速性、耐波性、操纵性以及船桨耦合等专业问题进行高精度预报。Fine/Marine拥有功能全面且强大的CFView后处理模块，能够直观地了解内外部流场，可以快速地提供流场细节图片和显示流场参数</w:t>
      </w:r>
      <w:r>
        <w:rPr>
          <w:rFonts w:hint="eastAsia" w:cs="Times New Roman"/>
          <w:spacing w:val="-2"/>
          <w:sz w:val="21"/>
          <w:szCs w:val="21"/>
        </w:rPr>
        <w:t>，</w:t>
      </w:r>
      <w:r>
        <w:rPr>
          <w:rFonts w:cs="Times New Roman"/>
          <w:spacing w:val="-2"/>
          <w:sz w:val="21"/>
          <w:szCs w:val="21"/>
        </w:rPr>
        <w:t>方便实现定性、定量参数的分析，以及直接与实验数据进行比较。</w:t>
      </w:r>
    </w:p>
    <w:p>
      <w:pPr>
        <w:ind w:left="1" w:hanging="1" w:firstLineChars="0"/>
        <w:outlineLvl w:val="0"/>
        <w:rPr>
          <w:rFonts w:eastAsia="仿宋" w:cs="Times New Roman"/>
          <w:b/>
          <w:sz w:val="28"/>
          <w:szCs w:val="28"/>
        </w:rPr>
      </w:pPr>
      <w:r>
        <w:rPr>
          <w:rFonts w:eastAsia="仿宋" w:cs="Times New Roman"/>
          <w:b/>
          <w:sz w:val="28"/>
          <w:szCs w:val="28"/>
        </w:rPr>
        <w:t>３　</w:t>
      </w:r>
      <w:r>
        <w:rPr>
          <w:rFonts w:eastAsia="仿宋" w:cs="Times New Roman"/>
          <w:sz w:val="28"/>
          <w:szCs w:val="28"/>
        </w:rPr>
        <w:t>数值计算模型及输入</w:t>
      </w:r>
    </w:p>
    <w:p>
      <w:pPr>
        <w:ind w:firstLine="0" w:firstLineChars="0"/>
        <w:outlineLvl w:val="1"/>
        <w:rPr>
          <w:rFonts w:eastAsia="黑体" w:cs="Times New Roman"/>
          <w:sz w:val="21"/>
          <w:szCs w:val="21"/>
        </w:rPr>
      </w:pPr>
      <w:bookmarkStart w:id="1" w:name="_Toc26965984"/>
      <w:bookmarkStart w:id="2" w:name="_Toc27748265"/>
      <w:r>
        <w:rPr>
          <w:rFonts w:eastAsia="黑体" w:cs="Times New Roman"/>
          <w:b/>
          <w:sz w:val="21"/>
          <w:szCs w:val="21"/>
        </w:rPr>
        <w:t xml:space="preserve">3.1  </w:t>
      </w:r>
      <w:bookmarkEnd w:id="1"/>
      <w:bookmarkEnd w:id="2"/>
      <w:r>
        <w:rPr>
          <w:rFonts w:eastAsia="黑体" w:cs="Times New Roman"/>
          <w:sz w:val="21"/>
          <w:szCs w:val="21"/>
        </w:rPr>
        <w:t>计算案例简介</w:t>
      </w:r>
    </w:p>
    <w:p>
      <w:pPr>
        <w:spacing w:line="120" w:lineRule="auto"/>
        <w:ind w:firstLine="412"/>
        <w:jc w:val="left"/>
        <w:rPr>
          <w:rFonts w:cs="Times New Roman"/>
          <w:spacing w:val="-2"/>
          <w:sz w:val="21"/>
          <w:szCs w:val="21"/>
        </w:rPr>
      </w:pPr>
      <w:r>
        <w:rPr>
          <w:rFonts w:cs="Times New Roman"/>
          <w:spacing w:val="-2"/>
          <w:sz w:val="21"/>
          <w:szCs w:val="21"/>
        </w:rPr>
        <w:t>在本计算案例中，一条载重量近万吨的集装箱船呈正坐状态沉没于300米水深的我国南海海域。根据国家海洋环境预报中心数据</w:t>
      </w:r>
      <w:r>
        <w:rPr>
          <w:rFonts w:cs="Times New Roman"/>
          <w:spacing w:val="-2"/>
          <w:sz w:val="21"/>
          <w:szCs w:val="21"/>
          <w:vertAlign w:val="superscript"/>
        </w:rPr>
        <w:t>[12]</w:t>
      </w:r>
      <w:r>
        <w:rPr>
          <w:rFonts w:cs="Times New Roman"/>
          <w:spacing w:val="-2"/>
          <w:sz w:val="21"/>
          <w:szCs w:val="21"/>
        </w:rPr>
        <w:t>，南海300米水深海域表面流速大概1.5kn, 50米水深处流速约为1kn</w:t>
      </w:r>
      <w:r>
        <w:rPr>
          <w:rFonts w:hint="eastAsia" w:cs="Times New Roman"/>
          <w:spacing w:val="-2"/>
          <w:sz w:val="21"/>
          <w:szCs w:val="21"/>
        </w:rPr>
        <w:t>，</w:t>
      </w:r>
      <w:r>
        <w:rPr>
          <w:rFonts w:cs="Times New Roman"/>
          <w:spacing w:val="-2"/>
          <w:sz w:val="21"/>
          <w:szCs w:val="21"/>
        </w:rPr>
        <w:t>100~300米水深流速受洋流影响变化较小，约为0.1~0.5k。两条安装有16套液压同步提升系统的驳船，左右对称的布置在沉船两侧，通过32道同步提升索具连接至沉船船体结构，将沉船从300米海底提升至一半船体出水。在此打捞方案中，一共有三个大型结构物处于水中。在打捞初期，两条抬吊驳船漂浮在水面上，而沉船内部充满了水并淹没在水下。在打捞末段，沉船部分出水，夹在两条抬吊驳之间一起漂浮在水面上。整个打捞系统的布置方案如图3所示。</w:t>
      </w:r>
    </w:p>
    <w:p>
      <w:pPr>
        <w:ind w:firstLine="0" w:firstLineChars="0"/>
        <w:jc w:val="center"/>
        <w:rPr>
          <w:rFonts w:cs="Times New Roman"/>
          <w:spacing w:val="-2"/>
          <w:sz w:val="21"/>
          <w:szCs w:val="21"/>
        </w:rPr>
      </w:pPr>
      <w:r>
        <w:rPr>
          <w:rFonts w:cs="Times New Roman"/>
        </w:rPr>
        <w:drawing>
          <wp:inline distT="0" distB="0" distL="0" distR="0">
            <wp:extent cx="2451735" cy="1524000"/>
            <wp:effectExtent l="0" t="0" r="571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7"/>
                    <a:srcRect b="10098"/>
                    <a:stretch>
                      <a:fillRect/>
                    </a:stretch>
                  </pic:blipFill>
                  <pic:spPr>
                    <a:xfrm>
                      <a:off x="0" y="0"/>
                      <a:ext cx="2484282" cy="1544231"/>
                    </a:xfrm>
                    <a:prstGeom prst="rect">
                      <a:avLst/>
                    </a:prstGeom>
                    <a:ln>
                      <a:noFill/>
                    </a:ln>
                  </pic:spPr>
                </pic:pic>
              </a:graphicData>
            </a:graphic>
          </wp:inline>
        </w:drawing>
      </w:r>
    </w:p>
    <w:p>
      <w:pPr>
        <w:pStyle w:val="28"/>
        <w:rPr>
          <w:rFonts w:cs="Times New Roman"/>
          <w:b w:val="0"/>
          <w:sz w:val="18"/>
          <w:szCs w:val="18"/>
        </w:rPr>
      </w:pPr>
      <w:bookmarkStart w:id="3" w:name="_Ref73352406"/>
      <w:r>
        <w:rPr>
          <w:rFonts w:cs="Times New Roman"/>
          <w:b w:val="0"/>
          <w:sz w:val="18"/>
          <w:szCs w:val="18"/>
        </w:rPr>
        <w:t>图</w:t>
      </w:r>
      <w:bookmarkEnd w:id="3"/>
      <w:r>
        <w:rPr>
          <w:rFonts w:cs="Times New Roman"/>
          <w:b w:val="0"/>
          <w:sz w:val="18"/>
          <w:szCs w:val="18"/>
        </w:rPr>
        <w:t>3  双驳船抬吊打捞方案示意图</w:t>
      </w:r>
    </w:p>
    <w:p>
      <w:pPr>
        <w:spacing w:line="120" w:lineRule="auto"/>
        <w:ind w:firstLine="412"/>
        <w:rPr>
          <w:rFonts w:cs="Times New Roman"/>
          <w:spacing w:val="-2"/>
          <w:sz w:val="21"/>
          <w:szCs w:val="21"/>
        </w:rPr>
      </w:pPr>
      <w:r>
        <w:rPr>
          <w:rFonts w:cs="Times New Roman"/>
          <w:spacing w:val="-2"/>
          <w:sz w:val="21"/>
          <w:szCs w:val="21"/>
        </w:rPr>
        <w:t>两条抬吊驳船和沉船的主要参数及重量信息如表1和表2所示。</w:t>
      </w:r>
    </w:p>
    <w:p>
      <w:pPr>
        <w:ind w:firstLine="0" w:firstLineChars="0"/>
        <w:jc w:val="center"/>
        <w:rPr>
          <w:rFonts w:eastAsia="黑体" w:cs="Times New Roman"/>
          <w:bCs/>
          <w:sz w:val="18"/>
          <w:szCs w:val="18"/>
        </w:rPr>
      </w:pPr>
      <w:bookmarkStart w:id="4" w:name="_Ref61599188"/>
      <w:r>
        <w:rPr>
          <w:rFonts w:eastAsia="黑体" w:cs="Times New Roman"/>
          <w:bCs/>
          <w:sz w:val="18"/>
          <w:szCs w:val="18"/>
        </w:rPr>
        <w:t>表1</w:t>
      </w:r>
      <w:bookmarkEnd w:id="4"/>
      <w:r>
        <w:rPr>
          <w:rFonts w:eastAsia="黑体" w:cs="Times New Roman"/>
          <w:bCs/>
          <w:sz w:val="18"/>
          <w:szCs w:val="18"/>
        </w:rPr>
        <w:t xml:space="preserve">  </w:t>
      </w:r>
      <w:bookmarkStart w:id="5" w:name="_Hlk92586486"/>
      <w:r>
        <w:rPr>
          <w:rFonts w:eastAsia="黑体" w:cs="Times New Roman"/>
          <w:bCs/>
          <w:sz w:val="18"/>
          <w:szCs w:val="18"/>
        </w:rPr>
        <w:t>抬吊驳船与沉船</w:t>
      </w:r>
      <w:bookmarkEnd w:id="5"/>
      <w:r>
        <w:rPr>
          <w:rFonts w:eastAsia="黑体" w:cs="Times New Roman"/>
          <w:bCs/>
          <w:sz w:val="18"/>
          <w:szCs w:val="18"/>
        </w:rPr>
        <w:t>主要参数</w:t>
      </w:r>
    </w:p>
    <w:tbl>
      <w:tblPr>
        <w:tblStyle w:val="15"/>
        <w:tblW w:w="41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5"/>
        <w:gridCol w:w="1309"/>
        <w:gridCol w:w="13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1495" w:type="dxa"/>
            <w:shd w:val="clear" w:color="auto" w:fill="auto"/>
            <w:vAlign w:val="center"/>
          </w:tcPr>
          <w:p>
            <w:pPr>
              <w:widowControl/>
              <w:ind w:firstLine="0" w:firstLineChars="0"/>
              <w:jc w:val="center"/>
              <w:rPr>
                <w:rFonts w:cs="Times New Roman"/>
                <w:kern w:val="0"/>
                <w:sz w:val="18"/>
                <w:szCs w:val="18"/>
              </w:rPr>
            </w:pPr>
            <w:r>
              <w:rPr>
                <w:rFonts w:cs="Times New Roman"/>
                <w:kern w:val="0"/>
                <w:sz w:val="18"/>
                <w:szCs w:val="18"/>
              </w:rPr>
              <w:t>参数</w:t>
            </w:r>
          </w:p>
        </w:tc>
        <w:tc>
          <w:tcPr>
            <w:tcW w:w="1309" w:type="dxa"/>
            <w:shd w:val="clear" w:color="auto" w:fill="auto"/>
            <w:vAlign w:val="center"/>
          </w:tcPr>
          <w:p>
            <w:pPr>
              <w:widowControl/>
              <w:ind w:firstLine="0" w:firstLineChars="0"/>
              <w:jc w:val="center"/>
              <w:rPr>
                <w:rFonts w:cs="Times New Roman"/>
                <w:kern w:val="0"/>
                <w:sz w:val="18"/>
                <w:szCs w:val="18"/>
              </w:rPr>
            </w:pPr>
            <w:r>
              <w:rPr>
                <w:rFonts w:cs="Times New Roman"/>
                <w:kern w:val="0"/>
                <w:sz w:val="18"/>
                <w:szCs w:val="18"/>
              </w:rPr>
              <w:t>抬吊船</w:t>
            </w:r>
            <w:bookmarkStart w:id="6" w:name="_Hlk92589709"/>
            <w:r>
              <w:rPr>
                <w:rFonts w:cs="Times New Roman"/>
                <w:kern w:val="0"/>
                <w:sz w:val="18"/>
                <w:szCs w:val="18"/>
              </w:rPr>
              <w:t>1#/2#</w:t>
            </w:r>
            <w:bookmarkEnd w:id="6"/>
          </w:p>
        </w:tc>
        <w:tc>
          <w:tcPr>
            <w:tcW w:w="1307" w:type="dxa"/>
            <w:shd w:val="clear" w:color="auto" w:fill="auto"/>
            <w:vAlign w:val="center"/>
          </w:tcPr>
          <w:p>
            <w:pPr>
              <w:widowControl/>
              <w:ind w:firstLine="0" w:firstLineChars="0"/>
              <w:jc w:val="center"/>
              <w:rPr>
                <w:rFonts w:cs="Times New Roman"/>
                <w:kern w:val="0"/>
                <w:sz w:val="18"/>
                <w:szCs w:val="18"/>
              </w:rPr>
            </w:pPr>
            <w:r>
              <w:rPr>
                <w:rFonts w:cs="Times New Roman"/>
                <w:kern w:val="0"/>
                <w:sz w:val="18"/>
                <w:szCs w:val="18"/>
              </w:rPr>
              <w:t>沉船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1495" w:type="dxa"/>
            <w:shd w:val="clear" w:color="auto" w:fill="auto"/>
            <w:vAlign w:val="center"/>
          </w:tcPr>
          <w:p>
            <w:pPr>
              <w:widowControl/>
              <w:ind w:firstLine="0" w:firstLineChars="0"/>
              <w:jc w:val="center"/>
              <w:rPr>
                <w:rFonts w:cs="Times New Roman"/>
                <w:kern w:val="0"/>
                <w:sz w:val="18"/>
                <w:szCs w:val="18"/>
              </w:rPr>
            </w:pPr>
            <w:r>
              <w:rPr>
                <w:rFonts w:cs="Times New Roman"/>
                <w:kern w:val="0"/>
                <w:sz w:val="18"/>
                <w:szCs w:val="18"/>
              </w:rPr>
              <w:t>总长/m</w:t>
            </w:r>
          </w:p>
        </w:tc>
        <w:tc>
          <w:tcPr>
            <w:tcW w:w="1309" w:type="dxa"/>
            <w:shd w:val="clear" w:color="auto" w:fill="auto"/>
            <w:vAlign w:val="center"/>
          </w:tcPr>
          <w:p>
            <w:pPr>
              <w:widowControl/>
              <w:ind w:firstLine="0" w:firstLineChars="0"/>
              <w:jc w:val="center"/>
              <w:rPr>
                <w:rFonts w:cs="Times New Roman"/>
                <w:kern w:val="0"/>
                <w:sz w:val="18"/>
                <w:szCs w:val="18"/>
              </w:rPr>
            </w:pPr>
            <w:r>
              <w:rPr>
                <w:rFonts w:cs="Times New Roman"/>
                <w:kern w:val="0"/>
                <w:sz w:val="18"/>
                <w:szCs w:val="18"/>
              </w:rPr>
              <w:t>169.0</w:t>
            </w:r>
          </w:p>
        </w:tc>
        <w:tc>
          <w:tcPr>
            <w:tcW w:w="1307" w:type="dxa"/>
            <w:shd w:val="clear" w:color="auto" w:fill="auto"/>
            <w:vAlign w:val="center"/>
          </w:tcPr>
          <w:p>
            <w:pPr>
              <w:widowControl/>
              <w:ind w:firstLine="0" w:firstLineChars="0"/>
              <w:jc w:val="center"/>
              <w:rPr>
                <w:rFonts w:cs="Times New Roman"/>
                <w:kern w:val="0"/>
                <w:sz w:val="18"/>
                <w:szCs w:val="18"/>
              </w:rPr>
            </w:pPr>
            <w:r>
              <w:rPr>
                <w:rFonts w:cs="Times New Roman"/>
                <w:kern w:val="0"/>
                <w:sz w:val="18"/>
                <w:szCs w:val="18"/>
              </w:rPr>
              <w:t>139.1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1495" w:type="dxa"/>
            <w:shd w:val="clear" w:color="auto" w:fill="auto"/>
            <w:vAlign w:val="center"/>
          </w:tcPr>
          <w:p>
            <w:pPr>
              <w:widowControl/>
              <w:ind w:firstLine="0" w:firstLineChars="0"/>
              <w:jc w:val="center"/>
              <w:rPr>
                <w:rFonts w:cs="Times New Roman"/>
                <w:kern w:val="0"/>
                <w:sz w:val="18"/>
                <w:szCs w:val="18"/>
              </w:rPr>
            </w:pPr>
            <w:r>
              <w:rPr>
                <w:rFonts w:cs="Times New Roman"/>
                <w:kern w:val="0"/>
                <w:sz w:val="18"/>
                <w:szCs w:val="18"/>
              </w:rPr>
              <w:t>型宽/m</w:t>
            </w:r>
          </w:p>
        </w:tc>
        <w:tc>
          <w:tcPr>
            <w:tcW w:w="1309" w:type="dxa"/>
            <w:shd w:val="clear" w:color="auto" w:fill="auto"/>
            <w:vAlign w:val="center"/>
          </w:tcPr>
          <w:p>
            <w:pPr>
              <w:widowControl/>
              <w:ind w:firstLine="0" w:firstLineChars="0"/>
              <w:jc w:val="center"/>
              <w:rPr>
                <w:rFonts w:cs="Times New Roman"/>
                <w:kern w:val="0"/>
                <w:sz w:val="18"/>
                <w:szCs w:val="18"/>
              </w:rPr>
            </w:pPr>
            <w:r>
              <w:rPr>
                <w:rFonts w:cs="Times New Roman"/>
                <w:kern w:val="0"/>
                <w:sz w:val="18"/>
                <w:szCs w:val="18"/>
              </w:rPr>
              <w:t>39.8</w:t>
            </w:r>
          </w:p>
        </w:tc>
        <w:tc>
          <w:tcPr>
            <w:tcW w:w="1307" w:type="dxa"/>
            <w:shd w:val="clear" w:color="auto" w:fill="auto"/>
            <w:vAlign w:val="center"/>
          </w:tcPr>
          <w:p>
            <w:pPr>
              <w:widowControl/>
              <w:ind w:firstLine="0" w:firstLineChars="0"/>
              <w:jc w:val="center"/>
              <w:rPr>
                <w:rFonts w:cs="Times New Roman"/>
                <w:kern w:val="0"/>
                <w:sz w:val="18"/>
                <w:szCs w:val="18"/>
              </w:rPr>
            </w:pPr>
            <w:r>
              <w:rPr>
                <w:rFonts w:cs="Times New Roman"/>
                <w:kern w:val="0"/>
                <w:sz w:val="18"/>
                <w:szCs w:val="18"/>
              </w:rPr>
              <w:t>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1495" w:type="dxa"/>
            <w:shd w:val="clear" w:color="auto" w:fill="auto"/>
            <w:vAlign w:val="center"/>
          </w:tcPr>
          <w:p>
            <w:pPr>
              <w:widowControl/>
              <w:ind w:firstLine="0" w:firstLineChars="0"/>
              <w:jc w:val="center"/>
              <w:rPr>
                <w:rFonts w:cs="Times New Roman"/>
                <w:kern w:val="0"/>
                <w:sz w:val="18"/>
                <w:szCs w:val="18"/>
              </w:rPr>
            </w:pPr>
            <w:r>
              <w:rPr>
                <w:rFonts w:cs="Times New Roman"/>
                <w:kern w:val="0"/>
                <w:sz w:val="18"/>
                <w:szCs w:val="18"/>
              </w:rPr>
              <w:t>型深/m</w:t>
            </w:r>
          </w:p>
        </w:tc>
        <w:tc>
          <w:tcPr>
            <w:tcW w:w="1309" w:type="dxa"/>
            <w:shd w:val="clear" w:color="auto" w:fill="auto"/>
            <w:vAlign w:val="center"/>
          </w:tcPr>
          <w:p>
            <w:pPr>
              <w:widowControl/>
              <w:ind w:firstLine="0" w:firstLineChars="0"/>
              <w:jc w:val="center"/>
              <w:rPr>
                <w:rFonts w:cs="Times New Roman"/>
                <w:kern w:val="0"/>
                <w:sz w:val="18"/>
                <w:szCs w:val="18"/>
              </w:rPr>
            </w:pPr>
            <w:r>
              <w:rPr>
                <w:rFonts w:cs="Times New Roman"/>
                <w:kern w:val="0"/>
                <w:sz w:val="18"/>
                <w:szCs w:val="18"/>
              </w:rPr>
              <w:t>10.9</w:t>
            </w:r>
          </w:p>
        </w:tc>
        <w:tc>
          <w:tcPr>
            <w:tcW w:w="1307" w:type="dxa"/>
            <w:shd w:val="clear" w:color="auto" w:fill="auto"/>
            <w:vAlign w:val="center"/>
          </w:tcPr>
          <w:p>
            <w:pPr>
              <w:widowControl/>
              <w:ind w:firstLine="0" w:firstLineChars="0"/>
              <w:jc w:val="center"/>
              <w:rPr>
                <w:rFonts w:cs="Times New Roman"/>
                <w:kern w:val="0"/>
                <w:sz w:val="18"/>
                <w:szCs w:val="18"/>
              </w:rPr>
            </w:pPr>
            <w:r>
              <w:rPr>
                <w:rFonts w:cs="Times New Roman"/>
                <w:kern w:val="0"/>
                <w:sz w:val="18"/>
                <w:szCs w:val="18"/>
              </w:rPr>
              <w:t>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1495" w:type="dxa"/>
            <w:shd w:val="clear" w:color="auto" w:fill="auto"/>
            <w:vAlign w:val="center"/>
          </w:tcPr>
          <w:p>
            <w:pPr>
              <w:widowControl/>
              <w:ind w:firstLine="0" w:firstLineChars="0"/>
              <w:jc w:val="center"/>
              <w:rPr>
                <w:rFonts w:cs="Times New Roman"/>
                <w:kern w:val="0"/>
                <w:sz w:val="18"/>
                <w:szCs w:val="18"/>
              </w:rPr>
            </w:pPr>
            <w:r>
              <w:rPr>
                <w:rFonts w:cs="Times New Roman"/>
                <w:kern w:val="0"/>
                <w:sz w:val="18"/>
                <w:szCs w:val="18"/>
              </w:rPr>
              <w:t>设计吃水/m</w:t>
            </w:r>
          </w:p>
        </w:tc>
        <w:tc>
          <w:tcPr>
            <w:tcW w:w="1309" w:type="dxa"/>
            <w:shd w:val="clear" w:color="auto" w:fill="auto"/>
            <w:vAlign w:val="center"/>
          </w:tcPr>
          <w:p>
            <w:pPr>
              <w:widowControl/>
              <w:ind w:firstLine="0" w:firstLineChars="0"/>
              <w:jc w:val="center"/>
              <w:rPr>
                <w:rFonts w:cs="Times New Roman"/>
                <w:kern w:val="0"/>
                <w:sz w:val="18"/>
                <w:szCs w:val="18"/>
              </w:rPr>
            </w:pPr>
            <w:r>
              <w:rPr>
                <w:rFonts w:cs="Times New Roman"/>
                <w:kern w:val="0"/>
                <w:sz w:val="18"/>
                <w:szCs w:val="18"/>
              </w:rPr>
              <w:t>7.5</w:t>
            </w:r>
          </w:p>
        </w:tc>
        <w:tc>
          <w:tcPr>
            <w:tcW w:w="1307" w:type="dxa"/>
            <w:shd w:val="clear" w:color="auto" w:fill="auto"/>
            <w:vAlign w:val="center"/>
          </w:tcPr>
          <w:p>
            <w:pPr>
              <w:widowControl/>
              <w:ind w:firstLine="0" w:firstLineChars="0"/>
              <w:jc w:val="center"/>
              <w:rPr>
                <w:rFonts w:cs="Times New Roman"/>
                <w:kern w:val="0"/>
                <w:sz w:val="18"/>
                <w:szCs w:val="18"/>
              </w:rPr>
            </w:pPr>
            <w:r>
              <w:rPr>
                <w:rFonts w:cs="Times New Roman"/>
                <w:kern w:val="0"/>
                <w:sz w:val="18"/>
                <w:szCs w:val="18"/>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1495" w:type="dxa"/>
            <w:shd w:val="clear" w:color="auto" w:fill="auto"/>
            <w:vAlign w:val="center"/>
          </w:tcPr>
          <w:p>
            <w:pPr>
              <w:widowControl/>
              <w:ind w:firstLine="0" w:firstLineChars="0"/>
              <w:jc w:val="center"/>
              <w:rPr>
                <w:rFonts w:cs="Times New Roman"/>
                <w:kern w:val="0"/>
                <w:sz w:val="18"/>
                <w:szCs w:val="18"/>
              </w:rPr>
            </w:pPr>
            <w:r>
              <w:rPr>
                <w:rFonts w:cs="Times New Roman"/>
                <w:kern w:val="0"/>
                <w:sz w:val="18"/>
                <w:szCs w:val="18"/>
              </w:rPr>
              <w:t>载重量/ton</w:t>
            </w:r>
          </w:p>
        </w:tc>
        <w:tc>
          <w:tcPr>
            <w:tcW w:w="1309" w:type="dxa"/>
            <w:shd w:val="clear" w:color="auto" w:fill="auto"/>
            <w:vAlign w:val="center"/>
          </w:tcPr>
          <w:p>
            <w:pPr>
              <w:widowControl/>
              <w:ind w:firstLine="0" w:firstLineChars="0"/>
              <w:jc w:val="center"/>
              <w:rPr>
                <w:rFonts w:cs="Times New Roman"/>
                <w:kern w:val="0"/>
                <w:sz w:val="18"/>
                <w:szCs w:val="18"/>
              </w:rPr>
            </w:pPr>
            <w:r>
              <w:rPr>
                <w:rFonts w:cs="Times New Roman"/>
                <w:kern w:val="0"/>
                <w:sz w:val="18"/>
                <w:szCs w:val="18"/>
              </w:rPr>
              <w:t>26000</w:t>
            </w:r>
          </w:p>
        </w:tc>
        <w:tc>
          <w:tcPr>
            <w:tcW w:w="1307" w:type="dxa"/>
            <w:shd w:val="clear" w:color="auto" w:fill="auto"/>
            <w:vAlign w:val="center"/>
          </w:tcPr>
          <w:p>
            <w:pPr>
              <w:widowControl/>
              <w:ind w:firstLine="0" w:firstLineChars="0"/>
              <w:jc w:val="center"/>
              <w:rPr>
                <w:rFonts w:cs="Times New Roman"/>
                <w:kern w:val="0"/>
                <w:sz w:val="18"/>
                <w:szCs w:val="18"/>
              </w:rPr>
            </w:pPr>
            <w:r>
              <w:rPr>
                <w:rFonts w:cs="Times New Roman"/>
                <w:kern w:val="0"/>
                <w:sz w:val="18"/>
                <w:szCs w:val="18"/>
              </w:rPr>
              <w:t>9600</w:t>
            </w:r>
          </w:p>
        </w:tc>
      </w:tr>
    </w:tbl>
    <w:p>
      <w:pPr>
        <w:ind w:firstLine="0" w:firstLineChars="0"/>
        <w:jc w:val="center"/>
        <w:rPr>
          <w:rFonts w:eastAsia="黑体" w:cs="Times New Roman"/>
          <w:bCs/>
          <w:sz w:val="18"/>
          <w:szCs w:val="18"/>
        </w:rPr>
      </w:pPr>
      <w:r>
        <w:rPr>
          <w:rFonts w:eastAsia="黑体" w:cs="Times New Roman"/>
          <w:bCs/>
          <w:sz w:val="18"/>
          <w:szCs w:val="18"/>
        </w:rPr>
        <w:t>表2抬吊驳船与沉船重量信息</w:t>
      </w:r>
    </w:p>
    <w:tbl>
      <w:tblPr>
        <w:tblStyle w:val="16"/>
        <w:tblW w:w="41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5"/>
        <w:gridCol w:w="756"/>
        <w:gridCol w:w="857"/>
        <w:gridCol w:w="837"/>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846" w:type="dxa"/>
            <w:shd w:val="clear" w:color="auto" w:fill="auto"/>
            <w:vAlign w:val="center"/>
          </w:tcPr>
          <w:p>
            <w:pPr>
              <w:pStyle w:val="45"/>
              <w:spacing w:line="240" w:lineRule="exact"/>
              <w:rPr>
                <w:sz w:val="18"/>
                <w:szCs w:val="18"/>
              </w:rPr>
            </w:pPr>
            <w:r>
              <w:rPr>
                <w:sz w:val="18"/>
                <w:szCs w:val="18"/>
              </w:rPr>
              <w:t>项目</w:t>
            </w:r>
          </w:p>
        </w:tc>
        <w:tc>
          <w:tcPr>
            <w:tcW w:w="592" w:type="dxa"/>
            <w:shd w:val="clear" w:color="auto" w:fill="auto"/>
            <w:vAlign w:val="center"/>
          </w:tcPr>
          <w:p>
            <w:pPr>
              <w:pStyle w:val="45"/>
              <w:spacing w:line="240" w:lineRule="exact"/>
              <w:rPr>
                <w:sz w:val="18"/>
                <w:szCs w:val="18"/>
              </w:rPr>
            </w:pPr>
            <w:r>
              <w:rPr>
                <w:sz w:val="18"/>
                <w:szCs w:val="18"/>
              </w:rPr>
              <w:t>重量/t</w:t>
            </w:r>
          </w:p>
        </w:tc>
        <w:tc>
          <w:tcPr>
            <w:tcW w:w="911" w:type="dxa"/>
            <w:shd w:val="clear" w:color="auto" w:fill="auto"/>
            <w:vAlign w:val="center"/>
          </w:tcPr>
          <w:p>
            <w:pPr>
              <w:pStyle w:val="45"/>
              <w:spacing w:line="240" w:lineRule="exact"/>
              <w:rPr>
                <w:sz w:val="18"/>
                <w:szCs w:val="18"/>
              </w:rPr>
            </w:pPr>
            <w:r>
              <w:rPr>
                <w:sz w:val="18"/>
                <w:szCs w:val="18"/>
              </w:rPr>
              <w:t>纵向重心位置/m</w:t>
            </w:r>
          </w:p>
        </w:tc>
        <w:tc>
          <w:tcPr>
            <w:tcW w:w="907" w:type="dxa"/>
            <w:shd w:val="clear" w:color="auto" w:fill="auto"/>
            <w:vAlign w:val="center"/>
          </w:tcPr>
          <w:p>
            <w:pPr>
              <w:pStyle w:val="45"/>
              <w:spacing w:line="240" w:lineRule="exact"/>
              <w:rPr>
                <w:sz w:val="18"/>
                <w:szCs w:val="18"/>
              </w:rPr>
            </w:pPr>
            <w:r>
              <w:rPr>
                <w:sz w:val="18"/>
                <w:szCs w:val="18"/>
              </w:rPr>
              <w:t>垂向重心位置/m</w:t>
            </w:r>
          </w:p>
        </w:tc>
        <w:tc>
          <w:tcPr>
            <w:tcW w:w="850" w:type="dxa"/>
            <w:shd w:val="clear" w:color="auto" w:fill="auto"/>
            <w:noWrap/>
            <w:vAlign w:val="center"/>
          </w:tcPr>
          <w:p>
            <w:pPr>
              <w:pStyle w:val="45"/>
              <w:spacing w:line="240" w:lineRule="exact"/>
              <w:rPr>
                <w:sz w:val="18"/>
                <w:szCs w:val="18"/>
              </w:rPr>
            </w:pPr>
            <w:r>
              <w:rPr>
                <w:sz w:val="18"/>
                <w:szCs w:val="18"/>
              </w:rPr>
              <w:t>横向重心位置/m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846" w:type="dxa"/>
            <w:vAlign w:val="center"/>
          </w:tcPr>
          <w:p>
            <w:pPr>
              <w:pStyle w:val="45"/>
              <w:spacing w:line="240" w:lineRule="exact"/>
              <w:rPr>
                <w:sz w:val="18"/>
                <w:szCs w:val="18"/>
              </w:rPr>
            </w:pPr>
            <w:r>
              <w:rPr>
                <w:sz w:val="18"/>
                <w:szCs w:val="18"/>
              </w:rPr>
              <w:t>沉船浸没状态</w:t>
            </w:r>
          </w:p>
        </w:tc>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spacing w:line="240" w:lineRule="exact"/>
              <w:rPr>
                <w:sz w:val="18"/>
                <w:szCs w:val="18"/>
              </w:rPr>
            </w:pPr>
            <w:r>
              <w:rPr>
                <w:sz w:val="18"/>
                <w:szCs w:val="18"/>
              </w:rPr>
              <w:t>96077</w:t>
            </w:r>
          </w:p>
        </w:tc>
        <w:tc>
          <w:tcPr>
            <w:tcW w:w="911" w:type="dxa"/>
            <w:tcBorders>
              <w:top w:val="single" w:color="000000" w:sz="4" w:space="0"/>
              <w:left w:val="nil"/>
              <w:bottom w:val="single" w:color="000000" w:sz="4" w:space="0"/>
              <w:right w:val="single" w:color="000000" w:sz="4" w:space="0"/>
            </w:tcBorders>
            <w:shd w:val="clear" w:color="auto" w:fill="auto"/>
            <w:vAlign w:val="center"/>
          </w:tcPr>
          <w:p>
            <w:pPr>
              <w:pStyle w:val="45"/>
              <w:spacing w:line="240" w:lineRule="exact"/>
              <w:rPr>
                <w:sz w:val="18"/>
                <w:szCs w:val="18"/>
              </w:rPr>
            </w:pPr>
            <w:r>
              <w:rPr>
                <w:sz w:val="18"/>
                <w:szCs w:val="18"/>
              </w:rPr>
              <w:t>61.3</w:t>
            </w:r>
          </w:p>
        </w:tc>
        <w:tc>
          <w:tcPr>
            <w:tcW w:w="907" w:type="dxa"/>
            <w:tcBorders>
              <w:top w:val="single" w:color="000000" w:sz="4" w:space="0"/>
              <w:left w:val="nil"/>
              <w:bottom w:val="single" w:color="000000" w:sz="4" w:space="0"/>
              <w:right w:val="single" w:color="000000" w:sz="4" w:space="0"/>
            </w:tcBorders>
            <w:shd w:val="clear" w:color="auto" w:fill="auto"/>
            <w:vAlign w:val="center"/>
          </w:tcPr>
          <w:p>
            <w:pPr>
              <w:pStyle w:val="45"/>
              <w:spacing w:line="240" w:lineRule="exact"/>
              <w:rPr>
                <w:sz w:val="18"/>
                <w:szCs w:val="18"/>
              </w:rPr>
            </w:pPr>
            <w:r>
              <w:rPr>
                <w:sz w:val="18"/>
                <w:szCs w:val="18"/>
              </w:rPr>
              <w:t>7.07</w:t>
            </w:r>
          </w:p>
        </w:tc>
        <w:tc>
          <w:tcPr>
            <w:tcW w:w="85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45"/>
              <w:spacing w:line="240" w:lineRule="exact"/>
              <w:rPr>
                <w:sz w:val="18"/>
                <w:szCs w:val="18"/>
              </w:rPr>
            </w:pPr>
            <w:r>
              <w:rPr>
                <w:sz w:val="18"/>
                <w:szCs w:val="18"/>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846" w:type="dxa"/>
            <w:vAlign w:val="center"/>
          </w:tcPr>
          <w:p>
            <w:pPr>
              <w:pStyle w:val="45"/>
              <w:spacing w:line="240" w:lineRule="exact"/>
              <w:rPr>
                <w:sz w:val="18"/>
                <w:szCs w:val="18"/>
              </w:rPr>
            </w:pPr>
            <w:r>
              <w:rPr>
                <w:sz w:val="18"/>
                <w:szCs w:val="18"/>
              </w:rPr>
              <w:t>沉船出水状态</w:t>
            </w:r>
          </w:p>
        </w:tc>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spacing w:line="240" w:lineRule="exact"/>
              <w:rPr>
                <w:sz w:val="18"/>
                <w:szCs w:val="18"/>
              </w:rPr>
            </w:pPr>
            <w:r>
              <w:rPr>
                <w:sz w:val="18"/>
                <w:szCs w:val="18"/>
              </w:rPr>
              <w:t>97339</w:t>
            </w:r>
          </w:p>
        </w:tc>
        <w:tc>
          <w:tcPr>
            <w:tcW w:w="911" w:type="dxa"/>
            <w:tcBorders>
              <w:top w:val="single" w:color="000000" w:sz="4" w:space="0"/>
              <w:left w:val="nil"/>
              <w:bottom w:val="single" w:color="000000" w:sz="4" w:space="0"/>
              <w:right w:val="single" w:color="000000" w:sz="4" w:space="0"/>
            </w:tcBorders>
            <w:shd w:val="clear" w:color="auto" w:fill="auto"/>
            <w:vAlign w:val="center"/>
          </w:tcPr>
          <w:p>
            <w:pPr>
              <w:pStyle w:val="45"/>
              <w:spacing w:line="240" w:lineRule="exact"/>
              <w:rPr>
                <w:sz w:val="18"/>
                <w:szCs w:val="18"/>
              </w:rPr>
            </w:pPr>
            <w:r>
              <w:rPr>
                <w:sz w:val="18"/>
                <w:szCs w:val="18"/>
              </w:rPr>
              <w:t>60.78</w:t>
            </w:r>
          </w:p>
        </w:tc>
        <w:tc>
          <w:tcPr>
            <w:tcW w:w="907" w:type="dxa"/>
            <w:tcBorders>
              <w:top w:val="single" w:color="000000" w:sz="4" w:space="0"/>
              <w:left w:val="nil"/>
              <w:bottom w:val="single" w:color="000000" w:sz="4" w:space="0"/>
              <w:right w:val="single" w:color="000000" w:sz="4" w:space="0"/>
            </w:tcBorders>
            <w:shd w:val="clear" w:color="auto" w:fill="auto"/>
            <w:vAlign w:val="center"/>
          </w:tcPr>
          <w:p>
            <w:pPr>
              <w:pStyle w:val="45"/>
              <w:spacing w:line="240" w:lineRule="exact"/>
              <w:rPr>
                <w:sz w:val="18"/>
                <w:szCs w:val="18"/>
              </w:rPr>
            </w:pPr>
            <w:r>
              <w:rPr>
                <w:sz w:val="18"/>
                <w:szCs w:val="18"/>
              </w:rPr>
              <w:t>7.5</w:t>
            </w:r>
          </w:p>
        </w:tc>
        <w:tc>
          <w:tcPr>
            <w:tcW w:w="85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45"/>
              <w:spacing w:line="240" w:lineRule="exact"/>
              <w:rPr>
                <w:sz w:val="18"/>
                <w:szCs w:val="18"/>
              </w:rPr>
            </w:pPr>
            <w:r>
              <w:rPr>
                <w:sz w:val="18"/>
                <w:szCs w:val="18"/>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846" w:type="dxa"/>
            <w:vAlign w:val="center"/>
          </w:tcPr>
          <w:p>
            <w:pPr>
              <w:pStyle w:val="45"/>
              <w:spacing w:line="240" w:lineRule="exact"/>
              <w:rPr>
                <w:sz w:val="18"/>
                <w:szCs w:val="18"/>
              </w:rPr>
            </w:pPr>
            <w:r>
              <w:rPr>
                <w:sz w:val="18"/>
                <w:szCs w:val="18"/>
              </w:rPr>
              <w:t>抬吊驳</w:t>
            </w:r>
            <w:r>
              <w:rPr>
                <w:kern w:val="0"/>
                <w:sz w:val="18"/>
                <w:szCs w:val="18"/>
              </w:rPr>
              <w:t>1#/2#</w:t>
            </w:r>
          </w:p>
        </w:tc>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5"/>
              <w:spacing w:line="240" w:lineRule="exact"/>
              <w:rPr>
                <w:sz w:val="18"/>
                <w:szCs w:val="18"/>
              </w:rPr>
            </w:pPr>
            <w:r>
              <w:rPr>
                <w:sz w:val="18"/>
                <w:szCs w:val="18"/>
              </w:rPr>
              <w:t>412767</w:t>
            </w:r>
          </w:p>
        </w:tc>
        <w:tc>
          <w:tcPr>
            <w:tcW w:w="911" w:type="dxa"/>
            <w:tcBorders>
              <w:top w:val="single" w:color="000000" w:sz="4" w:space="0"/>
              <w:left w:val="nil"/>
              <w:bottom w:val="single" w:color="000000" w:sz="4" w:space="0"/>
              <w:right w:val="single" w:color="000000" w:sz="4" w:space="0"/>
            </w:tcBorders>
            <w:shd w:val="clear" w:color="auto" w:fill="auto"/>
            <w:vAlign w:val="center"/>
          </w:tcPr>
          <w:p>
            <w:pPr>
              <w:pStyle w:val="45"/>
              <w:spacing w:line="240" w:lineRule="exact"/>
              <w:rPr>
                <w:sz w:val="18"/>
                <w:szCs w:val="18"/>
              </w:rPr>
            </w:pPr>
            <w:r>
              <w:rPr>
                <w:sz w:val="18"/>
                <w:szCs w:val="18"/>
              </w:rPr>
              <w:t>79</w:t>
            </w:r>
          </w:p>
        </w:tc>
        <w:tc>
          <w:tcPr>
            <w:tcW w:w="907" w:type="dxa"/>
            <w:tcBorders>
              <w:top w:val="single" w:color="000000" w:sz="4" w:space="0"/>
              <w:left w:val="nil"/>
              <w:bottom w:val="single" w:color="000000" w:sz="4" w:space="0"/>
              <w:right w:val="single" w:color="000000" w:sz="4" w:space="0"/>
            </w:tcBorders>
            <w:shd w:val="clear" w:color="auto" w:fill="auto"/>
            <w:vAlign w:val="center"/>
          </w:tcPr>
          <w:p>
            <w:pPr>
              <w:pStyle w:val="45"/>
              <w:spacing w:line="240" w:lineRule="exact"/>
              <w:rPr>
                <w:sz w:val="18"/>
                <w:szCs w:val="18"/>
              </w:rPr>
            </w:pPr>
            <w:r>
              <w:rPr>
                <w:sz w:val="18"/>
                <w:szCs w:val="18"/>
              </w:rPr>
              <w:t>8.93</w:t>
            </w:r>
          </w:p>
        </w:tc>
        <w:tc>
          <w:tcPr>
            <w:tcW w:w="85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45"/>
              <w:spacing w:line="240" w:lineRule="exact"/>
              <w:rPr>
                <w:sz w:val="18"/>
                <w:szCs w:val="18"/>
              </w:rPr>
            </w:pPr>
            <w:r>
              <w:rPr>
                <w:sz w:val="18"/>
                <w:szCs w:val="18"/>
              </w:rPr>
              <w:t>0</w:t>
            </w:r>
          </w:p>
        </w:tc>
      </w:tr>
    </w:tbl>
    <w:p>
      <w:pPr>
        <w:ind w:firstLine="0" w:firstLineChars="0"/>
      </w:pPr>
    </w:p>
    <w:p>
      <w:pPr>
        <w:ind w:firstLine="0" w:firstLineChars="0"/>
        <w:outlineLvl w:val="1"/>
        <w:rPr>
          <w:rFonts w:eastAsia="黑体" w:cs="Times New Roman"/>
          <w:b/>
          <w:sz w:val="21"/>
          <w:szCs w:val="21"/>
        </w:rPr>
      </w:pPr>
      <w:r>
        <w:rPr>
          <w:rFonts w:eastAsia="黑体" w:cs="Times New Roman"/>
          <w:b/>
          <w:sz w:val="21"/>
          <w:szCs w:val="21"/>
        </w:rPr>
        <w:t xml:space="preserve">3.2 </w:t>
      </w:r>
      <w:r>
        <w:rPr>
          <w:rFonts w:eastAsia="黑体" w:cs="Times New Roman"/>
          <w:sz w:val="21"/>
          <w:szCs w:val="21"/>
        </w:rPr>
        <w:t>坐标系定义</w:t>
      </w:r>
    </w:p>
    <w:p>
      <w:pPr>
        <w:spacing w:line="120" w:lineRule="auto"/>
        <w:ind w:firstLine="412"/>
        <w:rPr>
          <w:rFonts w:cs="Times New Roman"/>
          <w:spacing w:val="-2"/>
          <w:sz w:val="21"/>
          <w:szCs w:val="21"/>
        </w:rPr>
      </w:pPr>
      <w:r>
        <w:rPr>
          <w:rFonts w:cs="Times New Roman"/>
          <w:spacing w:val="-2"/>
          <w:sz w:val="21"/>
          <w:szCs w:val="21"/>
        </w:rPr>
        <w:t>计算中使用右手坐标系描述船舶流场速度势。分析沉船和沉船出水后多体系统的流载荷两种情况的坐标系定义如图4和图5所示，坐标原点均取在沉船重心处，x轴平行沉船基线指向船首，y轴指向沉船左舷，z轴垂直船体水线面竖直向上。流向角定义如下：沿艏部方向来流定义为 0°，沿右舷方向来流定义为 90°，沿艉部方向来流定义为 180°。</w:t>
      </w:r>
    </w:p>
    <w:p>
      <w:pPr>
        <w:ind w:firstLine="0" w:firstLineChars="0"/>
        <w:jc w:val="center"/>
        <w:rPr>
          <w:rFonts w:cs="Times New Roman"/>
        </w:rPr>
      </w:pPr>
      <w:r>
        <w:rPr>
          <w:rFonts w:cs="Times New Roman"/>
        </w:rPr>
        <w:drawing>
          <wp:inline distT="0" distB="0" distL="0" distR="0">
            <wp:extent cx="2022475" cy="120523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78"/>
                    <a:stretch>
                      <a:fillRect/>
                    </a:stretch>
                  </pic:blipFill>
                  <pic:spPr>
                    <a:xfrm>
                      <a:off x="0" y="0"/>
                      <a:ext cx="2058477" cy="1227080"/>
                    </a:xfrm>
                    <a:prstGeom prst="rect">
                      <a:avLst/>
                    </a:prstGeom>
                  </pic:spPr>
                </pic:pic>
              </a:graphicData>
            </a:graphic>
          </wp:inline>
        </w:drawing>
      </w:r>
    </w:p>
    <w:p>
      <w:pPr>
        <w:ind w:firstLine="0" w:firstLineChars="0"/>
        <w:jc w:val="center"/>
        <w:rPr>
          <w:rFonts w:cs="Times New Roman"/>
        </w:rPr>
      </w:pPr>
      <w:r>
        <w:rPr>
          <w:rFonts w:cs="Times New Roman"/>
          <w:bCs/>
          <w:sz w:val="18"/>
          <w:szCs w:val="18"/>
        </w:rPr>
        <w:t>图4  沉船流载荷计算坐标系</w:t>
      </w:r>
      <w:r>
        <w:rPr>
          <w:rFonts w:cs="Times New Roman"/>
        </w:rPr>
        <w:drawing>
          <wp:inline distT="0" distB="0" distL="0" distR="0">
            <wp:extent cx="1891030" cy="13493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79"/>
                    <a:stretch>
                      <a:fillRect/>
                    </a:stretch>
                  </pic:blipFill>
                  <pic:spPr>
                    <a:xfrm>
                      <a:off x="0" y="0"/>
                      <a:ext cx="1914795" cy="1366869"/>
                    </a:xfrm>
                    <a:prstGeom prst="rect">
                      <a:avLst/>
                    </a:prstGeom>
                  </pic:spPr>
                </pic:pic>
              </a:graphicData>
            </a:graphic>
          </wp:inline>
        </w:drawing>
      </w:r>
    </w:p>
    <w:p>
      <w:pPr>
        <w:pStyle w:val="28"/>
        <w:rPr>
          <w:rFonts w:cs="Times New Roman"/>
          <w:b w:val="0"/>
          <w:sz w:val="18"/>
          <w:szCs w:val="18"/>
        </w:rPr>
      </w:pPr>
      <w:r>
        <w:rPr>
          <w:rFonts w:cs="Times New Roman"/>
          <w:b w:val="0"/>
          <w:sz w:val="18"/>
          <w:szCs w:val="18"/>
        </w:rPr>
        <w:t>图5 多体系统流载荷计算坐标系</w:t>
      </w:r>
    </w:p>
    <w:p>
      <w:pPr>
        <w:ind w:firstLine="0" w:firstLineChars="0"/>
        <w:outlineLvl w:val="1"/>
        <w:rPr>
          <w:rFonts w:eastAsia="黑体" w:cs="Times New Roman"/>
          <w:sz w:val="21"/>
          <w:szCs w:val="21"/>
        </w:rPr>
      </w:pPr>
      <w:r>
        <w:rPr>
          <w:rFonts w:eastAsia="黑体" w:cs="Times New Roman"/>
          <w:b/>
          <w:sz w:val="21"/>
          <w:szCs w:val="21"/>
        </w:rPr>
        <w:t xml:space="preserve">3.3  </w:t>
      </w:r>
      <w:r>
        <w:rPr>
          <w:rFonts w:eastAsia="黑体" w:cs="Times New Roman"/>
          <w:sz w:val="21"/>
          <w:szCs w:val="21"/>
        </w:rPr>
        <w:t>计算模型建立及网格划分</w:t>
      </w:r>
    </w:p>
    <w:p>
      <w:pPr>
        <w:spacing w:line="120" w:lineRule="auto"/>
        <w:ind w:firstLine="412"/>
        <w:rPr>
          <w:rFonts w:cs="Times New Roman"/>
          <w:spacing w:val="-2"/>
          <w:sz w:val="21"/>
          <w:szCs w:val="21"/>
        </w:rPr>
      </w:pPr>
      <w:r>
        <w:rPr>
          <w:rFonts w:cs="Times New Roman"/>
          <w:spacing w:val="-2"/>
          <w:sz w:val="21"/>
          <w:szCs w:val="21"/>
        </w:rPr>
        <w:t>基于三维建模软件完成沉船和抬吊驳的三维建模，见图6和图7。实物模型进行简化处理，简化准则如下：</w:t>
      </w:r>
    </w:p>
    <w:p>
      <w:pPr>
        <w:pStyle w:val="35"/>
        <w:jc w:val="left"/>
        <w:rPr>
          <w:rFonts w:ascii="宋体" w:hAnsi="宋体" w:cs="Times New Roman"/>
          <w:sz w:val="21"/>
          <w:szCs w:val="21"/>
        </w:rPr>
      </w:pPr>
      <w:r>
        <w:rPr>
          <w:rFonts w:hint="eastAsia" w:ascii="宋体" w:hAnsi="宋体" w:cs="Times New Roman"/>
          <w:sz w:val="21"/>
          <w:szCs w:val="21"/>
        </w:rPr>
        <w:t>1）</w:t>
      </w:r>
      <w:r>
        <w:rPr>
          <w:rFonts w:ascii="宋体" w:hAnsi="宋体" w:cs="Times New Roman"/>
          <w:sz w:val="21"/>
          <w:szCs w:val="21"/>
        </w:rPr>
        <w:t>不改变船舶总体结构特征；</w:t>
      </w:r>
    </w:p>
    <w:p>
      <w:pPr>
        <w:pStyle w:val="35"/>
        <w:jc w:val="left"/>
        <w:rPr>
          <w:rFonts w:ascii="宋体" w:hAnsi="宋体" w:cs="Times New Roman"/>
          <w:sz w:val="21"/>
          <w:szCs w:val="21"/>
        </w:rPr>
      </w:pPr>
      <w:r>
        <w:rPr>
          <w:rFonts w:ascii="宋体" w:hAnsi="宋体" w:cs="Times New Roman"/>
          <w:sz w:val="21"/>
          <w:szCs w:val="21"/>
        </w:rPr>
        <w:t>2</w:t>
      </w:r>
      <w:r>
        <w:rPr>
          <w:rFonts w:hint="eastAsia" w:ascii="宋体" w:hAnsi="宋体" w:cs="Times New Roman"/>
          <w:sz w:val="21"/>
          <w:szCs w:val="21"/>
        </w:rPr>
        <w:t>）</w:t>
      </w:r>
      <w:r>
        <w:rPr>
          <w:rFonts w:ascii="宋体" w:hAnsi="宋体" w:cs="Times New Roman"/>
          <w:sz w:val="21"/>
          <w:szCs w:val="21"/>
        </w:rPr>
        <w:t>忽略严重影响网格划分的对水动力影响较小的部件(如尾轴、侧推器轴孔等)；</w:t>
      </w:r>
    </w:p>
    <w:p>
      <w:pPr>
        <w:pStyle w:val="35"/>
        <w:jc w:val="left"/>
      </w:pPr>
      <w:r>
        <w:rPr>
          <w:rFonts w:hint="eastAsia" w:ascii="宋体" w:hAnsi="宋体" w:cs="Times New Roman"/>
          <w:sz w:val="21"/>
          <w:szCs w:val="21"/>
        </w:rPr>
        <w:t>3）</w:t>
      </w:r>
      <w:r>
        <w:rPr>
          <w:rFonts w:ascii="宋体" w:hAnsi="宋体" w:cs="Times New Roman"/>
          <w:sz w:val="21"/>
          <w:szCs w:val="21"/>
        </w:rPr>
        <w:t>沉船和抬吊驳的基础参数见表1和表2</w:t>
      </w:r>
      <w:r>
        <w:rPr>
          <w:rFonts w:hint="eastAsia" w:ascii="宋体" w:hAnsi="宋体" w:cs="Times New Roman"/>
          <w:sz w:val="21"/>
          <w:szCs w:val="21"/>
        </w:rPr>
        <w:t>。</w:t>
      </w:r>
    </w:p>
    <w:p>
      <w:pPr>
        <w:pStyle w:val="35"/>
        <w:ind w:firstLine="0" w:firstLineChars="0"/>
        <w:jc w:val="center"/>
      </w:pPr>
      <w:r>
        <w:drawing>
          <wp:inline distT="0" distB="0" distL="0" distR="0">
            <wp:extent cx="1987550" cy="874395"/>
            <wp:effectExtent l="0" t="0" r="0" b="1905"/>
            <wp:docPr id="28" name="图片 28" descr="G:\科研项目\在研项目\打捞局\水动力及多体耦合数值计算\三维模型\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G:\科研项目\在研项目\打捞局\水动力及多体耦合数值计算\三维模型\NT.JPG"/>
                    <pic:cNvPicPr>
                      <a:picLocks noChangeAspect="1" noChangeArrowheads="1"/>
                    </pic:cNvPicPr>
                  </pic:nvPicPr>
                  <pic:blipFill>
                    <a:blip r:embed="rId80" cstate="print">
                      <a:extLst>
                        <a:ext uri="{28A0092B-C50C-407E-A947-70E740481C1C}">
                          <a14:useLocalDpi xmlns:a14="http://schemas.microsoft.com/office/drawing/2010/main" val="0"/>
                        </a:ext>
                      </a:extLst>
                    </a:blip>
                    <a:srcRect l="13109" t="24711" r="28422" b="26382"/>
                    <a:stretch>
                      <a:fillRect/>
                    </a:stretch>
                  </pic:blipFill>
                  <pic:spPr>
                    <a:xfrm>
                      <a:off x="0" y="0"/>
                      <a:ext cx="2044308" cy="899445"/>
                    </a:xfrm>
                    <a:prstGeom prst="rect">
                      <a:avLst/>
                    </a:prstGeom>
                    <a:noFill/>
                    <a:ln>
                      <a:noFill/>
                    </a:ln>
                  </pic:spPr>
                </pic:pic>
              </a:graphicData>
            </a:graphic>
          </wp:inline>
        </w:drawing>
      </w:r>
    </w:p>
    <w:p>
      <w:pPr>
        <w:pStyle w:val="42"/>
      </w:pPr>
      <w:r>
        <w:rPr>
          <w:bCs/>
          <w:sz w:val="18"/>
          <w:szCs w:val="18"/>
        </w:rPr>
        <w:t>图6 沉船三维模型</w:t>
      </w:r>
      <w:r>
        <w:drawing>
          <wp:inline distT="0" distB="0" distL="0" distR="0">
            <wp:extent cx="2264410" cy="561340"/>
            <wp:effectExtent l="0" t="0" r="2540" b="0"/>
            <wp:docPr id="11" name="图片 11" descr="G:\科研项目\在研项目\打捞局\水动力及多体耦合数值计算\三维模型\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G:\科研项目\在研项目\打捞局\水动力及多体耦合数值计算\三维模型\DL.JPG"/>
                    <pic:cNvPicPr>
                      <a:picLocks noChangeAspect="1" noChangeArrowheads="1"/>
                    </pic:cNvPicPr>
                  </pic:nvPicPr>
                  <pic:blipFill>
                    <a:blip r:embed="rId81" cstate="print">
                      <a:extLst>
                        <a:ext uri="{28A0092B-C50C-407E-A947-70E740481C1C}">
                          <a14:useLocalDpi xmlns:a14="http://schemas.microsoft.com/office/drawing/2010/main" val="0"/>
                        </a:ext>
                      </a:extLst>
                    </a:blip>
                    <a:srcRect l="4842" t="26512" r="11226" b="26792"/>
                    <a:stretch>
                      <a:fillRect/>
                    </a:stretch>
                  </pic:blipFill>
                  <pic:spPr>
                    <a:xfrm>
                      <a:off x="0" y="0"/>
                      <a:ext cx="2364139" cy="586225"/>
                    </a:xfrm>
                    <a:prstGeom prst="rect">
                      <a:avLst/>
                    </a:prstGeom>
                    <a:noFill/>
                    <a:ln>
                      <a:noFill/>
                    </a:ln>
                  </pic:spPr>
                </pic:pic>
              </a:graphicData>
            </a:graphic>
          </wp:inline>
        </w:drawing>
      </w:r>
    </w:p>
    <w:p>
      <w:pPr>
        <w:pStyle w:val="28"/>
        <w:rPr>
          <w:rFonts w:cs="Times New Roman"/>
          <w:b w:val="0"/>
          <w:sz w:val="18"/>
          <w:szCs w:val="18"/>
        </w:rPr>
      </w:pPr>
      <w:bookmarkStart w:id="7" w:name="_Hlk27575698"/>
      <w:r>
        <w:rPr>
          <w:rFonts w:cs="Times New Roman"/>
        </w:rPr>
        <w:t xml:space="preserve"> </w:t>
      </w:r>
      <w:r>
        <w:rPr>
          <w:rFonts w:cs="Times New Roman"/>
          <w:b w:val="0"/>
          <w:sz w:val="18"/>
          <w:szCs w:val="18"/>
        </w:rPr>
        <w:t>图7 抬吊驳三维模型</w:t>
      </w:r>
    </w:p>
    <w:bookmarkEnd w:id="7"/>
    <w:p>
      <w:pPr>
        <w:spacing w:line="120" w:lineRule="auto"/>
        <w:ind w:firstLine="412"/>
        <w:rPr>
          <w:rFonts w:cs="Times New Roman"/>
          <w:spacing w:val="-2"/>
          <w:sz w:val="21"/>
          <w:szCs w:val="21"/>
        </w:rPr>
      </w:pPr>
      <w:r>
        <w:rPr>
          <w:rFonts w:cs="Times New Roman"/>
          <w:spacing w:val="-2"/>
          <w:sz w:val="21"/>
          <w:szCs w:val="21"/>
        </w:rPr>
        <w:t>为提高沉船与抬吊驳变流向角时计算域内网格生成效率，整个计算域处理方式如下：</w:t>
      </w:r>
    </w:p>
    <w:p>
      <w:pPr>
        <w:pStyle w:val="35"/>
        <w:numPr>
          <w:ilvl w:val="0"/>
          <w:numId w:val="2"/>
        </w:numPr>
        <w:ind w:left="0" w:firstLine="420"/>
        <w:jc w:val="left"/>
        <w:rPr>
          <w:rFonts w:cs="Times New Roman"/>
          <w:sz w:val="21"/>
          <w:szCs w:val="21"/>
        </w:rPr>
      </w:pPr>
      <w:r>
        <w:rPr>
          <w:rFonts w:cs="Times New Roman"/>
          <w:sz w:val="21"/>
          <w:szCs w:val="21"/>
        </w:rPr>
        <w:t>整个计算域采用矩形，6L×3L×2L(L为船舶特征长度)</w:t>
      </w:r>
      <w:r>
        <w:rPr>
          <w:rFonts w:hint="eastAsia" w:cs="Times New Roman"/>
          <w:sz w:val="21"/>
          <w:szCs w:val="21"/>
        </w:rPr>
        <w:t>，</w:t>
      </w:r>
      <w:r>
        <w:rPr>
          <w:rFonts w:cs="Times New Roman"/>
          <w:sz w:val="21"/>
          <w:szCs w:val="21"/>
        </w:rPr>
        <w:t>船舶所在位置采用球域，直径为1.8L</w:t>
      </w:r>
      <w:r>
        <w:rPr>
          <w:rFonts w:hint="eastAsia" w:cs="Times New Roman"/>
          <w:sz w:val="21"/>
          <w:szCs w:val="21"/>
        </w:rPr>
        <w:t>，</w:t>
      </w:r>
      <w:r>
        <w:rPr>
          <w:rFonts w:cs="Times New Roman"/>
          <w:sz w:val="21"/>
          <w:szCs w:val="21"/>
        </w:rPr>
        <w:t>球域与矩形域之间采用滑移网格处理；</w:t>
      </w:r>
    </w:p>
    <w:p>
      <w:pPr>
        <w:pStyle w:val="35"/>
        <w:numPr>
          <w:ilvl w:val="0"/>
          <w:numId w:val="2"/>
        </w:numPr>
        <w:ind w:left="0" w:firstLine="420" w:firstLineChars="0"/>
        <w:jc w:val="left"/>
        <w:rPr>
          <w:rFonts w:cs="Times New Roman"/>
          <w:sz w:val="21"/>
          <w:szCs w:val="21"/>
        </w:rPr>
      </w:pPr>
      <w:r>
        <w:rPr>
          <w:rFonts w:cs="Times New Roman"/>
          <w:sz w:val="21"/>
          <w:szCs w:val="21"/>
        </w:rPr>
        <w:t>保证船舶变流向角时，只需旋转船舶所在位置网格重新生成，内域和外域网格无需重新生成，从而提高了网格生成效率，尽量保证变流向角时计算域内网格分布和数值的一致性。</w:t>
      </w:r>
    </w:p>
    <w:p>
      <w:pPr>
        <w:pStyle w:val="35"/>
        <w:numPr>
          <w:ilvl w:val="0"/>
          <w:numId w:val="2"/>
        </w:numPr>
        <w:ind w:left="0" w:firstLine="420" w:firstLineChars="0"/>
        <w:jc w:val="left"/>
        <w:rPr>
          <w:rFonts w:cs="Times New Roman"/>
          <w:sz w:val="21"/>
          <w:szCs w:val="21"/>
        </w:rPr>
      </w:pPr>
      <w:r>
        <w:rPr>
          <w:rFonts w:cs="Times New Roman"/>
          <w:sz w:val="21"/>
          <w:szCs w:val="21"/>
        </w:rPr>
        <w:t>针对多体系统的两船间隙位置处进  行网格加密，以捕获流场剧变特性；</w:t>
      </w:r>
    </w:p>
    <w:p>
      <w:pPr>
        <w:pStyle w:val="35"/>
        <w:numPr>
          <w:ilvl w:val="0"/>
          <w:numId w:val="2"/>
        </w:numPr>
        <w:ind w:left="0" w:firstLine="420" w:firstLineChars="0"/>
        <w:jc w:val="left"/>
        <w:rPr>
          <w:rFonts w:cs="Times New Roman"/>
          <w:sz w:val="21"/>
          <w:szCs w:val="21"/>
        </w:rPr>
      </w:pPr>
      <w:r>
        <w:rPr>
          <w:rFonts w:cs="Times New Roman"/>
          <w:sz w:val="21"/>
          <w:szCs w:val="21"/>
        </w:rPr>
        <w:t>沉船数值计算网格总数：225万，多体系统数值计算网格总数：637万。</w:t>
      </w:r>
    </w:p>
    <w:p>
      <w:pPr>
        <w:pStyle w:val="35"/>
        <w:jc w:val="left"/>
        <w:rPr>
          <w:rFonts w:cs="Times New Roman"/>
          <w:sz w:val="21"/>
          <w:szCs w:val="21"/>
        </w:rPr>
      </w:pPr>
      <w:r>
        <w:rPr>
          <w:rFonts w:hint="eastAsia" w:cs="Times New Roman"/>
          <w:sz w:val="21"/>
          <w:szCs w:val="21"/>
        </w:rPr>
        <w:t>沉船和多体打捞系统的计算域和网格划分见图8和图9。</w:t>
      </w:r>
    </w:p>
    <w:p>
      <w:pPr>
        <w:pStyle w:val="42"/>
        <w:rPr>
          <w:rFonts w:ascii="宋体" w:hAnsi="宋体"/>
          <w:sz w:val="21"/>
          <w:szCs w:val="21"/>
        </w:rPr>
      </w:pPr>
      <w:r>
        <w:rPr>
          <w:rFonts w:ascii="宋体" w:hAnsi="宋体"/>
          <w:sz w:val="21"/>
          <w:szCs w:val="21"/>
        </w:rPr>
        <w:drawing>
          <wp:inline distT="0" distB="0" distL="0" distR="0">
            <wp:extent cx="1225550" cy="635635"/>
            <wp:effectExtent l="0" t="0" r="0" b="0"/>
            <wp:docPr id="29" name="图片 29" descr="G:\科研项目\在研项目\打捞局\水动力及多体耦合数值计算\三维模型\NT-0-totalme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G:\科研项目\在研项目\打捞局\水动力及多体耦合数值计算\三维模型\NT-0-totalmesh.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1240319" cy="643318"/>
                    </a:xfrm>
                    <a:prstGeom prst="rect">
                      <a:avLst/>
                    </a:prstGeom>
                    <a:noFill/>
                    <a:ln>
                      <a:noFill/>
                    </a:ln>
                  </pic:spPr>
                </pic:pic>
              </a:graphicData>
            </a:graphic>
          </wp:inline>
        </w:drawing>
      </w:r>
      <w:r>
        <w:rPr>
          <w:rFonts w:ascii="宋体" w:hAnsi="宋体"/>
          <w:sz w:val="21"/>
          <w:szCs w:val="21"/>
        </w:rPr>
        <w:t xml:space="preserve"> </w:t>
      </w:r>
      <w:r>
        <w:rPr>
          <w:rFonts w:ascii="宋体" w:hAnsi="宋体"/>
          <w:sz w:val="21"/>
          <w:szCs w:val="21"/>
        </w:rPr>
        <w:drawing>
          <wp:inline distT="0" distB="0" distL="0" distR="0">
            <wp:extent cx="1212215" cy="628015"/>
            <wp:effectExtent l="0" t="0" r="6985" b="635"/>
            <wp:docPr id="30" name="图片 30" descr="G:\科研项目\在研项目\打捞局\水动力及多体耦合数值计算\三维模型\NT-0-me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G:\科研项目\在研项目\打捞局\水动力及多体耦合数值计算\三维模型\NT-0-mesh.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1230001" cy="637364"/>
                    </a:xfrm>
                    <a:prstGeom prst="rect">
                      <a:avLst/>
                    </a:prstGeom>
                    <a:noFill/>
                    <a:ln>
                      <a:noFill/>
                    </a:ln>
                  </pic:spPr>
                </pic:pic>
              </a:graphicData>
            </a:graphic>
          </wp:inline>
        </w:drawing>
      </w:r>
    </w:p>
    <w:p>
      <w:pPr>
        <w:pStyle w:val="42"/>
        <w:rPr>
          <w:sz w:val="21"/>
          <w:szCs w:val="21"/>
        </w:rPr>
      </w:pPr>
      <w:r>
        <w:rPr>
          <w:sz w:val="16"/>
          <w:szCs w:val="16"/>
        </w:rPr>
        <w:t>a)沉船计算域             b)沉船计算网格</w:t>
      </w:r>
    </w:p>
    <w:p>
      <w:pPr>
        <w:pStyle w:val="28"/>
        <w:rPr>
          <w:rFonts w:cs="Times New Roman"/>
          <w:b w:val="0"/>
          <w:sz w:val="18"/>
          <w:szCs w:val="18"/>
        </w:rPr>
      </w:pPr>
      <w:r>
        <w:rPr>
          <w:rFonts w:cs="Times New Roman"/>
          <w:b w:val="0"/>
          <w:sz w:val="18"/>
          <w:szCs w:val="18"/>
        </w:rPr>
        <w:t>图8 沉船网格划分</w:t>
      </w:r>
    </w:p>
    <w:p>
      <w:pPr>
        <w:pStyle w:val="42"/>
        <w:rPr>
          <w:rFonts w:ascii="宋体" w:hAnsi="宋体"/>
          <w:sz w:val="21"/>
          <w:szCs w:val="21"/>
        </w:rPr>
      </w:pPr>
      <w:r>
        <w:rPr>
          <w:rFonts w:ascii="宋体" w:hAnsi="宋体"/>
          <w:sz w:val="21"/>
          <w:szCs w:val="21"/>
        </w:rPr>
        <w:drawing>
          <wp:inline distT="0" distB="0" distL="0" distR="0">
            <wp:extent cx="1162050" cy="601980"/>
            <wp:effectExtent l="0" t="0" r="0" b="7620"/>
            <wp:docPr id="13" name="图片 13" descr="G:\科研项目\在研项目\打捞局\水动力及多体耦合数值计算\三维模型\0-totalme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G:\科研项目\在研项目\打捞局\水动力及多体耦合数值计算\三维模型\0-totalmesh.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1169389" cy="605956"/>
                    </a:xfrm>
                    <a:prstGeom prst="rect">
                      <a:avLst/>
                    </a:prstGeom>
                    <a:noFill/>
                    <a:ln>
                      <a:noFill/>
                    </a:ln>
                  </pic:spPr>
                </pic:pic>
              </a:graphicData>
            </a:graphic>
          </wp:inline>
        </w:drawing>
      </w:r>
      <w:r>
        <w:rPr>
          <w:rFonts w:ascii="宋体" w:hAnsi="宋体"/>
          <w:sz w:val="21"/>
          <w:szCs w:val="21"/>
        </w:rPr>
        <w:t xml:space="preserve"> </w:t>
      </w:r>
      <w:r>
        <w:rPr>
          <w:rFonts w:ascii="宋体" w:hAnsi="宋体"/>
          <w:sz w:val="21"/>
          <w:szCs w:val="21"/>
        </w:rPr>
        <w:drawing>
          <wp:inline distT="0" distB="0" distL="0" distR="0">
            <wp:extent cx="1198245" cy="621030"/>
            <wp:effectExtent l="0" t="0" r="1905" b="7620"/>
            <wp:docPr id="31" name="图片 31" descr="G:\科研项目\在研项目\打捞局\水动力及多体耦合数值计算\三维模型\0-me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G:\科研项目\在研项目\打捞局\水动力及多体耦合数值计算\三维模型\0-mesh.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1201241" cy="622461"/>
                    </a:xfrm>
                    <a:prstGeom prst="rect">
                      <a:avLst/>
                    </a:prstGeom>
                    <a:noFill/>
                    <a:ln>
                      <a:noFill/>
                    </a:ln>
                  </pic:spPr>
                </pic:pic>
              </a:graphicData>
            </a:graphic>
          </wp:inline>
        </w:drawing>
      </w:r>
    </w:p>
    <w:p>
      <w:pPr>
        <w:pStyle w:val="42"/>
        <w:rPr>
          <w:sz w:val="21"/>
          <w:szCs w:val="21"/>
        </w:rPr>
      </w:pPr>
      <w:r>
        <w:rPr>
          <w:sz w:val="16"/>
          <w:szCs w:val="16"/>
        </w:rPr>
        <w:t>a)</w:t>
      </w:r>
      <w:r>
        <w:rPr>
          <w:rFonts w:hint="eastAsia"/>
          <w:sz w:val="16"/>
          <w:szCs w:val="16"/>
        </w:rPr>
        <w:t>多体打捞系统</w:t>
      </w:r>
      <w:r>
        <w:rPr>
          <w:sz w:val="16"/>
          <w:szCs w:val="16"/>
        </w:rPr>
        <w:t>计算域    b)</w:t>
      </w:r>
      <w:r>
        <w:rPr>
          <w:rFonts w:hint="eastAsia"/>
          <w:sz w:val="16"/>
          <w:szCs w:val="16"/>
        </w:rPr>
        <w:t xml:space="preserve"> 多体打捞系统</w:t>
      </w:r>
      <w:r>
        <w:rPr>
          <w:sz w:val="16"/>
          <w:szCs w:val="16"/>
        </w:rPr>
        <w:t>计算网格</w:t>
      </w:r>
    </w:p>
    <w:p>
      <w:pPr>
        <w:pStyle w:val="28"/>
        <w:rPr>
          <w:rFonts w:cs="Times New Roman"/>
          <w:b w:val="0"/>
          <w:sz w:val="18"/>
          <w:szCs w:val="18"/>
        </w:rPr>
      </w:pPr>
      <w:r>
        <w:rPr>
          <w:rFonts w:cs="Times New Roman"/>
          <w:b w:val="0"/>
          <w:sz w:val="18"/>
          <w:szCs w:val="18"/>
        </w:rPr>
        <w:t>图9 多体打捞系统网格划分</w:t>
      </w:r>
    </w:p>
    <w:p>
      <w:pPr>
        <w:ind w:firstLine="0" w:firstLineChars="0"/>
        <w:outlineLvl w:val="1"/>
        <w:rPr>
          <w:rFonts w:ascii="宋体" w:hAnsi="宋体" w:cs="Times New Roman"/>
          <w:b/>
          <w:sz w:val="21"/>
          <w:szCs w:val="21"/>
        </w:rPr>
      </w:pPr>
      <w:r>
        <w:rPr>
          <w:rFonts w:ascii="宋体" w:hAnsi="宋体" w:cs="Times New Roman"/>
          <w:b/>
          <w:sz w:val="21"/>
          <w:szCs w:val="21"/>
        </w:rPr>
        <w:t xml:space="preserve">3.4  </w:t>
      </w:r>
      <w:r>
        <w:rPr>
          <w:rFonts w:ascii="黑体" w:hAnsi="黑体" w:eastAsia="黑体" w:cs="Times New Roman"/>
          <w:sz w:val="21"/>
          <w:szCs w:val="21"/>
        </w:rPr>
        <w:t>计算工况设定</w:t>
      </w:r>
    </w:p>
    <w:p>
      <w:pPr>
        <w:spacing w:line="120" w:lineRule="auto"/>
        <w:ind w:firstLine="412"/>
        <w:rPr>
          <w:rFonts w:cs="Times New Roman"/>
          <w:spacing w:val="-2"/>
          <w:sz w:val="21"/>
          <w:szCs w:val="21"/>
        </w:rPr>
      </w:pPr>
      <w:r>
        <w:rPr>
          <w:rFonts w:cs="Times New Roman"/>
          <w:spacing w:val="-2"/>
          <w:sz w:val="21"/>
          <w:szCs w:val="21"/>
        </w:rPr>
        <w:t>对于沉船浸没状态下单船体的流速载荷计算，选取沉船基线深度为50米和300米，分别对应0.55m/s和0.25m/s两种定常流速，流向角：0~180°。对于抬吊驳与沉船构成多体系统的流速载荷计算，选取沉船基线距自由面深度6m，抬吊驳吃水7.5m，抬吊驳间距固定为25.6m，</w:t>
      </w:r>
      <w:r>
        <w:rPr>
          <w:rFonts w:hint="eastAsia" w:cs="Times New Roman"/>
          <w:spacing w:val="-2"/>
          <w:sz w:val="21"/>
          <w:szCs w:val="21"/>
        </w:rPr>
        <w:t>表面流为</w:t>
      </w:r>
      <w:r>
        <w:rPr>
          <w:rFonts w:cs="Times New Roman"/>
          <w:spacing w:val="-2"/>
          <w:sz w:val="21"/>
          <w:szCs w:val="21"/>
        </w:rPr>
        <w:t>0.75m/s定常流速，流向角：0~180°。</w:t>
      </w:r>
    </w:p>
    <w:p>
      <w:pPr>
        <w:ind w:firstLine="0" w:firstLineChars="0"/>
        <w:outlineLvl w:val="1"/>
        <w:rPr>
          <w:rFonts w:eastAsia="黑体" w:cs="Times New Roman"/>
          <w:b/>
          <w:sz w:val="21"/>
          <w:szCs w:val="21"/>
        </w:rPr>
      </w:pPr>
      <w:r>
        <w:rPr>
          <w:rFonts w:eastAsia="黑体" w:cs="Times New Roman"/>
          <w:b/>
          <w:sz w:val="21"/>
          <w:szCs w:val="21"/>
        </w:rPr>
        <w:t xml:space="preserve">3.5  </w:t>
      </w:r>
      <w:r>
        <w:rPr>
          <w:rFonts w:eastAsia="黑体" w:cs="Times New Roman"/>
          <w:sz w:val="21"/>
          <w:szCs w:val="21"/>
        </w:rPr>
        <w:t>计算条件设置</w:t>
      </w:r>
    </w:p>
    <w:p>
      <w:pPr>
        <w:spacing w:line="120" w:lineRule="auto"/>
        <w:ind w:firstLine="412"/>
        <w:rPr>
          <w:rFonts w:cs="Times New Roman"/>
          <w:spacing w:val="-2"/>
          <w:sz w:val="21"/>
          <w:szCs w:val="21"/>
        </w:rPr>
      </w:pPr>
      <w:r>
        <w:rPr>
          <w:rFonts w:cs="Times New Roman"/>
          <w:spacing w:val="-2"/>
          <w:sz w:val="21"/>
          <w:szCs w:val="21"/>
        </w:rPr>
        <w:t>基于粘性流体理论，采用滑移网格技术（为提高网格生成效率），不同浸没深度的沉船和多体系统采用约束模式开展其流载荷数值计算。具体参数设置如下：</w:t>
      </w:r>
    </w:p>
    <w:p>
      <w:pPr>
        <w:pStyle w:val="35"/>
        <w:numPr>
          <w:ilvl w:val="0"/>
          <w:numId w:val="3"/>
        </w:numPr>
        <w:ind w:left="0" w:firstLine="420"/>
        <w:rPr>
          <w:rFonts w:cs="Times New Roman"/>
          <w:sz w:val="21"/>
          <w:szCs w:val="21"/>
        </w:rPr>
      </w:pPr>
      <w:r>
        <w:rPr>
          <w:rFonts w:cs="Times New Roman"/>
          <w:sz w:val="21"/>
          <w:szCs w:val="21"/>
        </w:rPr>
        <w:t>沉船单船体流载荷数值计算选择单相流；抬吊驳与沉船构成多体系统流载荷数值计算选择双相流。</w:t>
      </w:r>
    </w:p>
    <w:p>
      <w:pPr>
        <w:pStyle w:val="35"/>
        <w:numPr>
          <w:ilvl w:val="0"/>
          <w:numId w:val="3"/>
        </w:numPr>
        <w:ind w:left="0" w:firstLine="420"/>
        <w:rPr>
          <w:rFonts w:cs="Times New Roman"/>
          <w:sz w:val="21"/>
          <w:szCs w:val="21"/>
        </w:rPr>
      </w:pPr>
      <w:r>
        <w:rPr>
          <w:rFonts w:cs="Times New Roman"/>
          <w:sz w:val="21"/>
          <w:szCs w:val="21"/>
        </w:rPr>
        <w:t>选用非稳态时间布局模型；选用k-ω(SST-Menter)湍流模型；固壁面采用标准壁面函数，上边界和下边界采用指定零压力；入口边界、出口边界给定设计流速，两侧边界为远场；流体参数设定为15℃海水，密度为1026kg/m3，动力粘性系数取0.0009pa·s。</w:t>
      </w:r>
    </w:p>
    <w:p>
      <w:pPr>
        <w:pStyle w:val="35"/>
        <w:numPr>
          <w:ilvl w:val="0"/>
          <w:numId w:val="3"/>
        </w:numPr>
        <w:ind w:left="0" w:firstLine="420"/>
        <w:rPr>
          <w:rFonts w:cs="Times New Roman"/>
          <w:sz w:val="21"/>
          <w:szCs w:val="21"/>
        </w:rPr>
      </w:pPr>
      <w:r>
        <w:rPr>
          <w:rFonts w:cs="Times New Roman"/>
          <w:sz w:val="21"/>
          <w:szCs w:val="21"/>
        </w:rPr>
        <w:t>采用AVLSMART离散格式对于动量方程和湍流方程进行离散；为了减小自由液面模拟的数值耗散误差，自由液面运动方程采用可压缩性的 BRICS 格式离散</w:t>
      </w:r>
      <w:r>
        <w:rPr>
          <w:rFonts w:hint="eastAsia" w:cs="Times New Roman"/>
          <w:sz w:val="21"/>
          <w:szCs w:val="21"/>
        </w:rPr>
        <w:t>。</w:t>
      </w:r>
    </w:p>
    <w:p>
      <w:pPr>
        <w:ind w:firstLine="0" w:firstLineChars="0"/>
        <w:outlineLvl w:val="0"/>
        <w:rPr>
          <w:rFonts w:eastAsia="仿宋" w:cs="Times New Roman"/>
          <w:b/>
          <w:sz w:val="28"/>
          <w:szCs w:val="28"/>
        </w:rPr>
      </w:pPr>
      <w:r>
        <w:rPr>
          <w:rFonts w:eastAsia="仿宋" w:cs="Times New Roman"/>
          <w:b/>
          <w:sz w:val="28"/>
          <w:szCs w:val="28"/>
        </w:rPr>
        <w:t xml:space="preserve">4 </w:t>
      </w:r>
      <w:r>
        <w:rPr>
          <w:rFonts w:eastAsia="仿宋" w:cs="Times New Roman"/>
          <w:sz w:val="28"/>
          <w:szCs w:val="28"/>
        </w:rPr>
        <w:t>计算结果及分析</w:t>
      </w:r>
    </w:p>
    <w:p>
      <w:pPr>
        <w:ind w:firstLine="0" w:firstLineChars="0"/>
        <w:outlineLvl w:val="1"/>
        <w:rPr>
          <w:rFonts w:eastAsia="黑体" w:cs="Times New Roman"/>
          <w:sz w:val="21"/>
          <w:szCs w:val="21"/>
        </w:rPr>
      </w:pPr>
      <w:r>
        <w:rPr>
          <w:rFonts w:eastAsia="黑体" w:cs="Times New Roman"/>
          <w:b/>
          <w:sz w:val="21"/>
          <w:szCs w:val="21"/>
        </w:rPr>
        <w:t xml:space="preserve">4.1 </w:t>
      </w:r>
      <w:r>
        <w:rPr>
          <w:rFonts w:eastAsia="黑体" w:cs="Times New Roman"/>
          <w:sz w:val="21"/>
          <w:szCs w:val="21"/>
        </w:rPr>
        <w:t>不同浸没深度沉船流载荷计算</w:t>
      </w:r>
      <w:r>
        <w:rPr>
          <w:rFonts w:hint="eastAsia" w:eastAsia="黑体" w:cs="Times New Roman"/>
          <w:sz w:val="21"/>
          <w:szCs w:val="21"/>
        </w:rPr>
        <w:t>与分析</w:t>
      </w:r>
    </w:p>
    <w:p>
      <w:pPr>
        <w:spacing w:line="120" w:lineRule="auto"/>
        <w:ind w:firstLine="420"/>
        <w:rPr>
          <w:rFonts w:cs="Times New Roman"/>
          <w:sz w:val="21"/>
          <w:szCs w:val="21"/>
        </w:rPr>
      </w:pPr>
      <w:r>
        <w:rPr>
          <w:rFonts w:cs="Times New Roman"/>
          <w:sz w:val="21"/>
          <w:szCs w:val="21"/>
        </w:rPr>
        <w:t>由于船舶具有对称性，180-360°的结果为0-180°计算结果的镜像。图10给出了不同水深状态流载荷和流力无因次系数分布图，从图中可以看出流速0.25m/s与0.55m/s对应的沉船的阻力无因次系数基本一致，误差小于8%，纵横向力无因次系数相差较大；出现这种现象的主要原因是，纵向阻力为主流向，所研究的流速对应雷诺数超过临界雷诺数，而横向力主要是流体受到结构物阻塞分流，在y方向流速较低，未超越临界雷诺数所致。该现象从纵向阻力系数远大于横向阻力系数得到应证。</w:t>
      </w:r>
    </w:p>
    <w:p>
      <w:pPr>
        <w:pStyle w:val="42"/>
        <w:rPr>
          <w:szCs w:val="24"/>
        </w:rPr>
      </w:pPr>
      <w:r>
        <w:drawing>
          <wp:inline distT="0" distB="0" distL="0" distR="0">
            <wp:extent cx="2146935" cy="1859280"/>
            <wp:effectExtent l="0" t="0" r="5715" b="7620"/>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86" cstate="print">
                      <a:extLst>
                        <a:ext uri="{28A0092B-C50C-407E-A947-70E740481C1C}">
                          <a14:useLocalDpi xmlns:a14="http://schemas.microsoft.com/office/drawing/2010/main" val="0"/>
                        </a:ext>
                      </a:extLst>
                    </a:blip>
                    <a:srcRect l="952" r="13959" b="5473"/>
                    <a:stretch>
                      <a:fillRect/>
                    </a:stretch>
                  </pic:blipFill>
                  <pic:spPr>
                    <a:xfrm>
                      <a:off x="0" y="0"/>
                      <a:ext cx="2157006" cy="1867968"/>
                    </a:xfrm>
                    <a:prstGeom prst="rect">
                      <a:avLst/>
                    </a:prstGeom>
                  </pic:spPr>
                </pic:pic>
              </a:graphicData>
            </a:graphic>
          </wp:inline>
        </w:drawing>
      </w:r>
    </w:p>
    <w:p>
      <w:pPr>
        <w:pStyle w:val="42"/>
        <w:numPr>
          <w:ilvl w:val="0"/>
          <w:numId w:val="4"/>
        </w:numPr>
        <w:ind w:left="386" w:firstLine="0"/>
        <w:rPr>
          <w:sz w:val="16"/>
          <w:szCs w:val="16"/>
        </w:rPr>
      </w:pPr>
      <w:r>
        <w:rPr>
          <w:sz w:val="16"/>
          <w:szCs w:val="16"/>
        </w:rPr>
        <w:t>水深50m- v =0.55m/s流载荷</w:t>
      </w:r>
    </w:p>
    <w:p>
      <w:pPr>
        <w:pStyle w:val="42"/>
        <w:rPr>
          <w:szCs w:val="24"/>
        </w:rPr>
      </w:pPr>
      <w:r>
        <w:drawing>
          <wp:inline distT="0" distB="0" distL="0" distR="0">
            <wp:extent cx="2050415" cy="1853565"/>
            <wp:effectExtent l="0" t="0" r="6985"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87" cstate="print">
                      <a:extLst>
                        <a:ext uri="{28A0092B-C50C-407E-A947-70E740481C1C}">
                          <a14:useLocalDpi xmlns:a14="http://schemas.microsoft.com/office/drawing/2010/main" val="0"/>
                        </a:ext>
                      </a:extLst>
                    </a:blip>
                    <a:srcRect l="6668" r="14744" b="7261"/>
                    <a:stretch>
                      <a:fillRect/>
                    </a:stretch>
                  </pic:blipFill>
                  <pic:spPr>
                    <a:xfrm>
                      <a:off x="0" y="0"/>
                      <a:ext cx="2056687" cy="1859413"/>
                    </a:xfrm>
                    <a:prstGeom prst="rect">
                      <a:avLst/>
                    </a:prstGeom>
                    <a:ln>
                      <a:noFill/>
                    </a:ln>
                  </pic:spPr>
                </pic:pic>
              </a:graphicData>
            </a:graphic>
          </wp:inline>
        </w:drawing>
      </w:r>
    </w:p>
    <w:p>
      <w:pPr>
        <w:pStyle w:val="42"/>
        <w:rPr>
          <w:sz w:val="16"/>
          <w:szCs w:val="16"/>
        </w:rPr>
      </w:pPr>
      <w:r>
        <w:rPr>
          <w:sz w:val="16"/>
          <w:szCs w:val="16"/>
        </w:rPr>
        <w:t>b)水深50m- v =0.55m/s流力系数</w:t>
      </w:r>
    </w:p>
    <w:p>
      <w:pPr>
        <w:pStyle w:val="42"/>
      </w:pPr>
      <w:r>
        <w:drawing>
          <wp:inline distT="0" distB="0" distL="0" distR="0">
            <wp:extent cx="2139950" cy="1873885"/>
            <wp:effectExtent l="0" t="0" r="0" b="0"/>
            <wp:docPr id="26" name="图片 26" descr="G:\科研项目\在研项目\打捞局\水动力及多体耦合数值计算\NT\NT-300m流力载荷分布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G:\科研项目\在研项目\打捞局\水动力及多体耦合数值计算\NT\NT-300m流力载荷分布图.png"/>
                    <pic:cNvPicPr>
                      <a:picLocks noChangeAspect="1" noChangeArrowheads="1"/>
                    </pic:cNvPicPr>
                  </pic:nvPicPr>
                  <pic:blipFill>
                    <a:blip r:embed="rId88" cstate="print">
                      <a:extLst>
                        <a:ext uri="{28A0092B-C50C-407E-A947-70E740481C1C}">
                          <a14:useLocalDpi xmlns:a14="http://schemas.microsoft.com/office/drawing/2010/main" val="0"/>
                        </a:ext>
                      </a:extLst>
                    </a:blip>
                    <a:srcRect l="4877" t="707" r="15655" b="8491"/>
                    <a:stretch>
                      <a:fillRect/>
                    </a:stretch>
                  </pic:blipFill>
                  <pic:spPr>
                    <a:xfrm>
                      <a:off x="0" y="0"/>
                      <a:ext cx="2144791" cy="1877786"/>
                    </a:xfrm>
                    <a:prstGeom prst="rect">
                      <a:avLst/>
                    </a:prstGeom>
                    <a:noFill/>
                    <a:ln>
                      <a:noFill/>
                    </a:ln>
                  </pic:spPr>
                </pic:pic>
              </a:graphicData>
            </a:graphic>
          </wp:inline>
        </w:drawing>
      </w:r>
    </w:p>
    <w:p>
      <w:pPr>
        <w:pStyle w:val="42"/>
      </w:pPr>
      <w:r>
        <w:rPr>
          <w:sz w:val="16"/>
          <w:szCs w:val="16"/>
        </w:rPr>
        <w:t>c)水深300m- v =0.25m/s流载荷</w:t>
      </w:r>
    </w:p>
    <w:p>
      <w:pPr>
        <w:pStyle w:val="42"/>
      </w:pPr>
      <w:r>
        <w:drawing>
          <wp:inline distT="0" distB="0" distL="0" distR="0">
            <wp:extent cx="2098675" cy="1926590"/>
            <wp:effectExtent l="0" t="0" r="0" b="0"/>
            <wp:docPr id="33" name="图片 33" descr="G:\科研项目\在研项目\打捞局\水动力及多体耦合数值计算\NT\NT-300m流力系数分布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G:\科研项目\在研项目\打捞局\水动力及多体耦合数值计算\NT\NT-300m流力系数分布图.png"/>
                    <pic:cNvPicPr>
                      <a:picLocks noChangeAspect="1" noChangeArrowheads="1"/>
                    </pic:cNvPicPr>
                  </pic:nvPicPr>
                  <pic:blipFill>
                    <a:blip r:embed="rId89" cstate="print">
                      <a:extLst>
                        <a:ext uri="{28A0092B-C50C-407E-A947-70E740481C1C}">
                          <a14:useLocalDpi xmlns:a14="http://schemas.microsoft.com/office/drawing/2010/main" val="0"/>
                        </a:ext>
                      </a:extLst>
                    </a:blip>
                    <a:srcRect l="7586" r="15835" b="8255"/>
                    <a:stretch>
                      <a:fillRect/>
                    </a:stretch>
                  </pic:blipFill>
                  <pic:spPr>
                    <a:xfrm>
                      <a:off x="0" y="0"/>
                      <a:ext cx="2102348" cy="1929956"/>
                    </a:xfrm>
                    <a:prstGeom prst="rect">
                      <a:avLst/>
                    </a:prstGeom>
                    <a:noFill/>
                    <a:ln>
                      <a:noFill/>
                    </a:ln>
                  </pic:spPr>
                </pic:pic>
              </a:graphicData>
            </a:graphic>
          </wp:inline>
        </w:drawing>
      </w:r>
    </w:p>
    <w:p>
      <w:pPr>
        <w:ind w:firstLine="0" w:firstLineChars="0"/>
        <w:jc w:val="center"/>
        <w:rPr>
          <w:rFonts w:cs="Times New Roman"/>
          <w:sz w:val="16"/>
          <w:szCs w:val="16"/>
        </w:rPr>
      </w:pPr>
      <w:r>
        <w:rPr>
          <w:rFonts w:cs="Times New Roman"/>
          <w:sz w:val="16"/>
          <w:szCs w:val="16"/>
        </w:rPr>
        <w:t>d)水深300m-v=0.25m/s流力系数</w:t>
      </w:r>
    </w:p>
    <w:p>
      <w:pPr>
        <w:pStyle w:val="28"/>
        <w:rPr>
          <w:rFonts w:cs="Times New Roman"/>
          <w:b w:val="0"/>
          <w:sz w:val="18"/>
          <w:szCs w:val="18"/>
        </w:rPr>
      </w:pPr>
      <w:r>
        <w:rPr>
          <w:rFonts w:cs="Times New Roman"/>
          <w:b w:val="0"/>
          <w:sz w:val="18"/>
          <w:szCs w:val="18"/>
        </w:rPr>
        <w:t>图10 沉船流载荷分布图</w:t>
      </w:r>
    </w:p>
    <w:p>
      <w:pPr>
        <w:ind w:firstLine="0" w:firstLineChars="0"/>
        <w:outlineLvl w:val="1"/>
        <w:rPr>
          <w:rFonts w:eastAsia="黑体" w:cs="Times New Roman"/>
          <w:b/>
          <w:sz w:val="21"/>
          <w:szCs w:val="21"/>
        </w:rPr>
      </w:pPr>
      <w:r>
        <w:rPr>
          <w:rFonts w:eastAsia="黑体" w:cs="Times New Roman"/>
          <w:b/>
          <w:sz w:val="21"/>
          <w:szCs w:val="21"/>
        </w:rPr>
        <w:t xml:space="preserve">4.2 </w:t>
      </w:r>
      <w:r>
        <w:rPr>
          <w:rFonts w:eastAsia="黑体" w:cs="Times New Roman"/>
          <w:sz w:val="21"/>
          <w:szCs w:val="21"/>
        </w:rPr>
        <w:t>多体系统干扰下流载荷计算与分析</w:t>
      </w:r>
    </w:p>
    <w:p>
      <w:pPr>
        <w:spacing w:line="120" w:lineRule="auto"/>
        <w:ind w:firstLine="420"/>
        <w:rPr>
          <w:rFonts w:cs="Times New Roman"/>
          <w:sz w:val="21"/>
          <w:szCs w:val="21"/>
        </w:rPr>
      </w:pPr>
      <w:r>
        <w:rPr>
          <w:rFonts w:cs="Times New Roman"/>
          <w:sz w:val="21"/>
          <w:szCs w:val="21"/>
        </w:rPr>
        <w:t>两抬吊驳船与沉船组成多体系统具有对称性，180-360°的结果为0-180°计算结果的镜像。图11给出了多体系统中沉船、抬吊驳1和抬吊驳2对应流载荷和流力无因次系数分布图，从图11a和图11b中可以看出沉船的横向与纵向力处于同一量级，与单个沉船的阻力分布规律完全不同，主要受到多体干扰，沉船周围流场较为复杂，抬吊驳对沉船的遮蔽效应非常明显。</w:t>
      </w:r>
    </w:p>
    <w:p>
      <w:pPr>
        <w:ind w:firstLine="420"/>
        <w:rPr>
          <w:rFonts w:cs="Times New Roman"/>
          <w:sz w:val="21"/>
          <w:szCs w:val="21"/>
        </w:rPr>
      </w:pPr>
      <w:r>
        <w:rPr>
          <w:rFonts w:cs="Times New Roman"/>
          <w:sz w:val="21"/>
          <w:szCs w:val="21"/>
        </w:rPr>
        <w:t>对于抬吊驳而言，0-180°旋转过程中，抬吊驳1处于迎流面对沉船和抬吊驳2具有遮蔽效应，沉船和抬吊驳2处于其绕流场中，整体流载荷处于波动不稳定状态。抬吊驳1所示流载荷明显大于抬吊驳2，抬吊驳2的流载荷分布规律及量值与抬吊驳1完全不同，除0°和180°抬吊驳1和抬吊驳2关于流向对称状态外，两者所受流载荷相当外。</w:t>
      </w:r>
    </w:p>
    <w:p>
      <w:pPr>
        <w:pStyle w:val="42"/>
      </w:pPr>
      <w:r>
        <w:drawing>
          <wp:inline distT="0" distB="0" distL="0" distR="0">
            <wp:extent cx="2001520" cy="1769745"/>
            <wp:effectExtent l="0" t="0" r="0" b="1905"/>
            <wp:docPr id="24" name="图片 24" descr="G:\科研项目\在研项目\打捞局\水动力及多体耦合数值计算\NT\NT-d=6m流载荷分布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G:\科研项目\在研项目\打捞局\水动力及多体耦合数值计算\NT\NT-d=6m流载荷分布图.png"/>
                    <pic:cNvPicPr>
                      <a:picLocks noChangeAspect="1" noChangeArrowheads="1"/>
                    </pic:cNvPicPr>
                  </pic:nvPicPr>
                  <pic:blipFill>
                    <a:blip r:embed="rId90" cstate="print">
                      <a:extLst>
                        <a:ext uri="{28A0092B-C50C-407E-A947-70E740481C1C}">
                          <a14:useLocalDpi xmlns:a14="http://schemas.microsoft.com/office/drawing/2010/main" val="0"/>
                        </a:ext>
                      </a:extLst>
                    </a:blip>
                    <a:srcRect l="5598" r="14933" b="8255"/>
                    <a:stretch>
                      <a:fillRect/>
                    </a:stretch>
                  </pic:blipFill>
                  <pic:spPr>
                    <a:xfrm>
                      <a:off x="0" y="0"/>
                      <a:ext cx="2007317" cy="1774469"/>
                    </a:xfrm>
                    <a:prstGeom prst="rect">
                      <a:avLst/>
                    </a:prstGeom>
                    <a:noFill/>
                    <a:ln>
                      <a:noFill/>
                    </a:ln>
                  </pic:spPr>
                </pic:pic>
              </a:graphicData>
            </a:graphic>
          </wp:inline>
        </w:drawing>
      </w:r>
    </w:p>
    <w:p>
      <w:pPr>
        <w:pStyle w:val="42"/>
      </w:pPr>
      <w:r>
        <w:rPr>
          <w:sz w:val="16"/>
          <w:szCs w:val="16"/>
        </w:rPr>
        <w:t>a) 沉船-吃水d=6m-V=0.75 m/s流载荷</w:t>
      </w:r>
    </w:p>
    <w:p>
      <w:pPr>
        <w:pStyle w:val="42"/>
      </w:pPr>
      <w:r>
        <w:rPr>
          <w:szCs w:val="24"/>
        </w:rPr>
        <w:drawing>
          <wp:inline distT="0" distB="0" distL="0" distR="0">
            <wp:extent cx="2091690" cy="1852295"/>
            <wp:effectExtent l="0" t="0" r="3810" b="0"/>
            <wp:docPr id="7467" name="图片 7467" descr="E:\共享文件夹\提交\DL1-d=7.5m流力分布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7" name="图片 7467" descr="E:\共享文件夹\提交\DL1-d=7.5m流力分布图.png"/>
                    <pic:cNvPicPr>
                      <a:picLocks noChangeAspect="1" noChangeArrowheads="1"/>
                    </pic:cNvPicPr>
                  </pic:nvPicPr>
                  <pic:blipFill>
                    <a:blip r:embed="rId91" cstate="print">
                      <a:extLst>
                        <a:ext uri="{28A0092B-C50C-407E-A947-70E740481C1C}">
                          <a14:useLocalDpi xmlns:a14="http://schemas.microsoft.com/office/drawing/2010/main" val="0"/>
                        </a:ext>
                      </a:extLst>
                    </a:blip>
                    <a:srcRect l="4484" r="15489" b="7445"/>
                    <a:stretch>
                      <a:fillRect/>
                    </a:stretch>
                  </pic:blipFill>
                  <pic:spPr>
                    <a:xfrm>
                      <a:off x="0" y="0"/>
                      <a:ext cx="2094480" cy="1854568"/>
                    </a:xfrm>
                    <a:prstGeom prst="rect">
                      <a:avLst/>
                    </a:prstGeom>
                    <a:noFill/>
                    <a:ln>
                      <a:noFill/>
                    </a:ln>
                  </pic:spPr>
                </pic:pic>
              </a:graphicData>
            </a:graphic>
          </wp:inline>
        </w:drawing>
      </w:r>
    </w:p>
    <w:p>
      <w:pPr>
        <w:pStyle w:val="42"/>
        <w:rPr>
          <w:sz w:val="16"/>
          <w:szCs w:val="16"/>
        </w:rPr>
      </w:pPr>
      <w:r>
        <w:rPr>
          <w:sz w:val="16"/>
          <w:szCs w:val="16"/>
        </w:rPr>
        <w:t>b)沉船-吃水d=6m-V=0.75 m/s流力系数</w:t>
      </w:r>
      <w:r>
        <w:rPr>
          <w:szCs w:val="24"/>
        </w:rPr>
        <w:drawing>
          <wp:inline distT="0" distB="0" distL="0" distR="0">
            <wp:extent cx="2084705" cy="1826895"/>
            <wp:effectExtent l="0" t="0" r="0" b="1905"/>
            <wp:docPr id="7466" name="图片 7466" descr="E:\共享文件夹\提交\DL2-d=7.5m流力分布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6" name="图片 7466" descr="E:\共享文件夹\提交\DL2-d=7.5m流力分布图.png"/>
                    <pic:cNvPicPr>
                      <a:picLocks noChangeAspect="1" noChangeArrowheads="1"/>
                    </pic:cNvPicPr>
                  </pic:nvPicPr>
                  <pic:blipFill>
                    <a:blip r:embed="rId92" cstate="print">
                      <a:extLst>
                        <a:ext uri="{28A0092B-C50C-407E-A947-70E740481C1C}">
                          <a14:useLocalDpi xmlns:a14="http://schemas.microsoft.com/office/drawing/2010/main" val="0"/>
                        </a:ext>
                      </a:extLst>
                    </a:blip>
                    <a:srcRect l="4076" r="15082" b="7622"/>
                    <a:stretch>
                      <a:fillRect/>
                    </a:stretch>
                  </pic:blipFill>
                  <pic:spPr>
                    <a:xfrm>
                      <a:off x="0" y="0"/>
                      <a:ext cx="2086517" cy="1828548"/>
                    </a:xfrm>
                    <a:prstGeom prst="rect">
                      <a:avLst/>
                    </a:prstGeom>
                    <a:noFill/>
                    <a:ln>
                      <a:noFill/>
                    </a:ln>
                  </pic:spPr>
                </pic:pic>
              </a:graphicData>
            </a:graphic>
          </wp:inline>
        </w:drawing>
      </w:r>
    </w:p>
    <w:p>
      <w:pPr>
        <w:pStyle w:val="42"/>
        <w:rPr>
          <w:sz w:val="16"/>
          <w:szCs w:val="16"/>
        </w:rPr>
      </w:pPr>
      <w:r>
        <w:rPr>
          <w:sz w:val="16"/>
          <w:szCs w:val="16"/>
        </w:rPr>
        <w:t>c) 抬吊驳1-吃水d=7.5m-V=0.75 m/s流载荷</w:t>
      </w:r>
    </w:p>
    <w:p>
      <w:pPr>
        <w:pStyle w:val="42"/>
      </w:pPr>
      <w:r>
        <w:drawing>
          <wp:inline distT="0" distB="0" distL="0" distR="0">
            <wp:extent cx="2049780" cy="1811655"/>
            <wp:effectExtent l="0" t="0" r="7620" b="0"/>
            <wp:docPr id="25" name="图片 25" descr="G:\科研项目\在研项目\打捞局\水动力及多体耦合数值计算\NT\NT-d=6m流力系数分布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G:\科研项目\在研项目\打捞局\水动力及多体耦合数值计算\NT\NT-d=6m流力系数分布图.png"/>
                    <pic:cNvPicPr>
                      <a:picLocks noChangeAspect="1" noChangeArrowheads="1"/>
                    </pic:cNvPicPr>
                  </pic:nvPicPr>
                  <pic:blipFill>
                    <a:blip r:embed="rId93" cstate="print">
                      <a:extLst>
                        <a:ext uri="{28A0092B-C50C-407E-A947-70E740481C1C}">
                          <a14:useLocalDpi xmlns:a14="http://schemas.microsoft.com/office/drawing/2010/main" val="0"/>
                        </a:ext>
                      </a:extLst>
                    </a:blip>
                    <a:srcRect l="6864" t="1887" r="15474" b="8490"/>
                    <a:stretch>
                      <a:fillRect/>
                    </a:stretch>
                  </pic:blipFill>
                  <pic:spPr>
                    <a:xfrm>
                      <a:off x="0" y="0"/>
                      <a:ext cx="2051896" cy="1813130"/>
                    </a:xfrm>
                    <a:prstGeom prst="rect">
                      <a:avLst/>
                    </a:prstGeom>
                    <a:noFill/>
                    <a:ln>
                      <a:noFill/>
                    </a:ln>
                  </pic:spPr>
                </pic:pic>
              </a:graphicData>
            </a:graphic>
          </wp:inline>
        </w:drawing>
      </w:r>
    </w:p>
    <w:p>
      <w:pPr>
        <w:pStyle w:val="42"/>
        <w:rPr>
          <w:sz w:val="16"/>
          <w:szCs w:val="16"/>
        </w:rPr>
      </w:pPr>
      <w:r>
        <w:rPr>
          <w:sz w:val="16"/>
          <w:szCs w:val="16"/>
        </w:rPr>
        <w:t>d) 抬吊驳1-吃水d=7.5m-V=0.75 m/s流力系数</w:t>
      </w:r>
      <w:r>
        <w:rPr>
          <w:szCs w:val="24"/>
        </w:rPr>
        <w:drawing>
          <wp:inline distT="0" distB="0" distL="0" distR="0">
            <wp:extent cx="2043430" cy="1768475"/>
            <wp:effectExtent l="0" t="0" r="0" b="3175"/>
            <wp:docPr id="7464" name="图片 7464" descr="C:\Users\lenovo\AppData\Local\Temp\WeChat Files\2a03384451c6b7ae1d01ffa292f82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4" name="图片 7464" descr="C:\Users\lenovo\AppData\Local\Temp\WeChat Files\2a03384451c6b7ae1d01ffa292f82b6.png"/>
                    <pic:cNvPicPr>
                      <a:picLocks noChangeAspect="1" noChangeArrowheads="1"/>
                    </pic:cNvPicPr>
                  </pic:nvPicPr>
                  <pic:blipFill>
                    <a:blip r:embed="rId94" cstate="print">
                      <a:extLst>
                        <a:ext uri="{28A0092B-C50C-407E-A947-70E740481C1C}">
                          <a14:useLocalDpi xmlns:a14="http://schemas.microsoft.com/office/drawing/2010/main" val="0"/>
                        </a:ext>
                      </a:extLst>
                    </a:blip>
                    <a:srcRect l="7066" r="12093" b="8510"/>
                    <a:stretch>
                      <a:fillRect/>
                    </a:stretch>
                  </pic:blipFill>
                  <pic:spPr>
                    <a:xfrm>
                      <a:off x="0" y="0"/>
                      <a:ext cx="2044639" cy="1769543"/>
                    </a:xfrm>
                    <a:prstGeom prst="rect">
                      <a:avLst/>
                    </a:prstGeom>
                    <a:noFill/>
                    <a:ln>
                      <a:noFill/>
                    </a:ln>
                  </pic:spPr>
                </pic:pic>
              </a:graphicData>
            </a:graphic>
          </wp:inline>
        </w:drawing>
      </w:r>
    </w:p>
    <w:p>
      <w:pPr>
        <w:pStyle w:val="42"/>
        <w:rPr>
          <w:sz w:val="16"/>
          <w:szCs w:val="16"/>
        </w:rPr>
      </w:pPr>
      <w:r>
        <w:rPr>
          <w:sz w:val="16"/>
          <w:szCs w:val="16"/>
        </w:rPr>
        <w:t xml:space="preserve">e) 抬吊驳2-吃水d=7.5m-V=0.75 m/s流载荷 </w:t>
      </w:r>
      <w:r>
        <w:rPr>
          <w:szCs w:val="24"/>
        </w:rPr>
        <w:drawing>
          <wp:inline distT="0" distB="0" distL="0" distR="0">
            <wp:extent cx="2063750" cy="1864995"/>
            <wp:effectExtent l="0" t="0" r="0" b="1905"/>
            <wp:docPr id="7465" name="图片 7465" descr="E:\共享文件夹\提交\DL2-d=7.5m流力系数分布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5" name="图片 7465" descr="E:\共享文件夹\提交\DL2-d=7.5m流力系数分布图.png"/>
                    <pic:cNvPicPr>
                      <a:picLocks noChangeAspect="1" noChangeArrowheads="1"/>
                    </pic:cNvPicPr>
                  </pic:nvPicPr>
                  <pic:blipFill>
                    <a:blip r:embed="rId95" cstate="print">
                      <a:extLst>
                        <a:ext uri="{28A0092B-C50C-407E-A947-70E740481C1C}">
                          <a14:useLocalDpi xmlns:a14="http://schemas.microsoft.com/office/drawing/2010/main" val="0"/>
                        </a:ext>
                      </a:extLst>
                    </a:blip>
                    <a:srcRect l="7745" r="14810" b="8510"/>
                    <a:stretch>
                      <a:fillRect/>
                    </a:stretch>
                  </pic:blipFill>
                  <pic:spPr>
                    <a:xfrm>
                      <a:off x="0" y="0"/>
                      <a:ext cx="2067256" cy="1868048"/>
                    </a:xfrm>
                    <a:prstGeom prst="rect">
                      <a:avLst/>
                    </a:prstGeom>
                    <a:noFill/>
                    <a:ln>
                      <a:noFill/>
                    </a:ln>
                  </pic:spPr>
                </pic:pic>
              </a:graphicData>
            </a:graphic>
          </wp:inline>
        </w:drawing>
      </w:r>
      <w:r>
        <w:rPr>
          <w:sz w:val="16"/>
          <w:szCs w:val="16"/>
        </w:rPr>
        <w:t xml:space="preserve">  </w:t>
      </w:r>
    </w:p>
    <w:p>
      <w:pPr>
        <w:pStyle w:val="42"/>
        <w:ind w:firstLine="386"/>
        <w:rPr>
          <w:sz w:val="16"/>
          <w:szCs w:val="16"/>
        </w:rPr>
      </w:pPr>
      <w:r>
        <w:rPr>
          <w:sz w:val="16"/>
          <w:szCs w:val="16"/>
        </w:rPr>
        <w:t xml:space="preserve">  f) 抬吊驳2-吃水d=7.5m-V=0.75 m/s流力系数</w:t>
      </w:r>
    </w:p>
    <w:p>
      <w:pPr>
        <w:pStyle w:val="28"/>
        <w:rPr>
          <w:rFonts w:cs="Times New Roman"/>
          <w:b w:val="0"/>
          <w:sz w:val="18"/>
          <w:szCs w:val="18"/>
        </w:rPr>
      </w:pPr>
      <w:r>
        <w:rPr>
          <w:rFonts w:cs="Times New Roman"/>
          <w:b w:val="0"/>
          <w:sz w:val="18"/>
          <w:szCs w:val="18"/>
        </w:rPr>
        <w:t>图 11多体系统流载荷分布图</w:t>
      </w:r>
    </w:p>
    <w:p>
      <w:pPr>
        <w:ind w:firstLine="420"/>
        <w:rPr>
          <w:rFonts w:cs="Times New Roman"/>
          <w:sz w:val="21"/>
          <w:szCs w:val="21"/>
        </w:rPr>
      </w:pPr>
      <w:r>
        <w:rPr>
          <w:rFonts w:cs="Times New Roman"/>
          <w:sz w:val="21"/>
          <w:szCs w:val="21"/>
        </w:rPr>
        <w:t>图12给出了抬吊驳1与抬吊驳2干扰流载荷分布图，从图12 a中可以看出，0-180°流向范围内，尤其是横流附近情况下，抬吊驳1对抬吊驳2的遮蔽效应明显，抬吊驳1的总阻力明显大于抬吊驳2，抬吊驳2处于抬吊驳1的绕流场环境中，流向发生改变，因此抬吊驳2的横向力大于抬吊驳1。</w:t>
      </w:r>
    </w:p>
    <w:p>
      <w:pPr>
        <w:ind w:firstLine="420"/>
        <w:rPr>
          <w:rFonts w:cs="Times New Roman"/>
          <w:sz w:val="21"/>
          <w:szCs w:val="21"/>
        </w:rPr>
      </w:pPr>
      <w:bookmarkStart w:id="8" w:name="_Hlk93324041"/>
      <w:r>
        <w:rPr>
          <w:rFonts w:cs="Times New Roman"/>
          <w:sz w:val="21"/>
          <w:szCs w:val="21"/>
        </w:rPr>
        <w:t>为了定量说明抬吊驳1对抬吊驳2流阻力的影响，图12b给出了相对于抬吊驳1，抬吊驳2流阻力变化量分布图（图中正值表示抬吊驳1大于抬吊驳2，负值表示抬吊驳2大于抬吊驳1）。从图中可以看出：偏纵流情况下（如0~30°和150~180°），两条抬吊驳纵向流阻力大小相当；偏横流情况下，由于遮蔽效应更明显，抬吊驳1的纵向流阻力普遍大于抬吊驳2，抬吊驳2流载荷减小量在90°流向最大约61.3%；偏横流情况下（如60~120°），由于遮蔽效应，抬吊驳1的横向流阻力普遍大于抬吊驳2，偏纵流和斜流情况下，抬吊驳1的横向流阻力普遍小于抬吊驳2，抬吊驳2流载荷增量在30°流向最大约185.4%。</w:t>
      </w:r>
    </w:p>
    <w:bookmarkEnd w:id="8"/>
    <w:p>
      <w:pPr>
        <w:ind w:firstLine="0" w:firstLineChars="0"/>
        <w:jc w:val="center"/>
        <w:rPr>
          <w:rFonts w:cs="Times New Roman"/>
        </w:rPr>
      </w:pPr>
      <w:r>
        <w:rPr>
          <w:rFonts w:cs="Times New Roman"/>
        </w:rPr>
        <w:drawing>
          <wp:inline distT="0" distB="0" distL="0" distR="0">
            <wp:extent cx="2297430" cy="1758315"/>
            <wp:effectExtent l="0" t="0" r="762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a:xfrm>
                      <a:off x="0" y="0"/>
                      <a:ext cx="2303882" cy="1763101"/>
                    </a:xfrm>
                    <a:prstGeom prst="rect">
                      <a:avLst/>
                    </a:prstGeom>
                    <a:noFill/>
                    <a:ln>
                      <a:noFill/>
                    </a:ln>
                  </pic:spPr>
                </pic:pic>
              </a:graphicData>
            </a:graphic>
          </wp:inline>
        </w:drawing>
      </w:r>
      <w:r>
        <w:rPr>
          <w:rFonts w:cs="Times New Roman"/>
        </w:rPr>
        <w:t xml:space="preserve"> </w:t>
      </w:r>
    </w:p>
    <w:p>
      <w:pPr>
        <w:pStyle w:val="35"/>
        <w:numPr>
          <w:ilvl w:val="0"/>
          <w:numId w:val="5"/>
        </w:numPr>
        <w:ind w:firstLineChars="0"/>
        <w:jc w:val="center"/>
        <w:rPr>
          <w:rFonts w:cs="Times New Roman"/>
        </w:rPr>
      </w:pPr>
      <w:r>
        <w:rPr>
          <w:rFonts w:cs="Times New Roman"/>
          <w:sz w:val="16"/>
          <w:szCs w:val="16"/>
        </w:rPr>
        <w:t>抬吊驳1与抬吊驳2流载荷对比图</w:t>
      </w:r>
      <w:r>
        <w:rPr>
          <w:rFonts w:cs="Times New Roman"/>
        </w:rPr>
        <w:drawing>
          <wp:inline distT="0" distB="0" distL="0" distR="0">
            <wp:extent cx="2230120" cy="1706245"/>
            <wp:effectExtent l="0" t="0" r="0"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2233151" cy="1708974"/>
                    </a:xfrm>
                    <a:prstGeom prst="rect">
                      <a:avLst/>
                    </a:prstGeom>
                    <a:noFill/>
                    <a:ln>
                      <a:noFill/>
                    </a:ln>
                  </pic:spPr>
                </pic:pic>
              </a:graphicData>
            </a:graphic>
          </wp:inline>
        </w:drawing>
      </w:r>
    </w:p>
    <w:p>
      <w:pPr>
        <w:pStyle w:val="35"/>
        <w:numPr>
          <w:ilvl w:val="0"/>
          <w:numId w:val="5"/>
        </w:numPr>
        <w:ind w:left="0" w:firstLine="0" w:firstLineChars="0"/>
        <w:jc w:val="center"/>
        <w:rPr>
          <w:rFonts w:cs="Times New Roman"/>
          <w:sz w:val="16"/>
          <w:szCs w:val="16"/>
        </w:rPr>
      </w:pPr>
      <w:r>
        <w:rPr>
          <w:rFonts w:cs="Times New Roman"/>
          <w:sz w:val="16"/>
          <w:szCs w:val="16"/>
        </w:rPr>
        <w:t>相对于抬吊驳1，抬吊驳2变化量图</w:t>
      </w:r>
    </w:p>
    <w:p>
      <w:pPr>
        <w:pStyle w:val="42"/>
        <w:ind w:left="384" w:firstLine="384"/>
        <w:jc w:val="left"/>
        <w:rPr>
          <w:bCs/>
          <w:sz w:val="18"/>
          <w:szCs w:val="18"/>
        </w:rPr>
      </w:pPr>
      <w:r>
        <w:rPr>
          <w:bCs/>
          <w:sz w:val="18"/>
          <w:szCs w:val="18"/>
        </w:rPr>
        <w:t>图12 抬吊驳1与抬吊驳2干扰流载荷分布图，DL1表示浮驳1；DL2表示浮驳2；NT表示沉船</w:t>
      </w:r>
    </w:p>
    <w:p>
      <w:pPr>
        <w:pStyle w:val="42"/>
        <w:jc w:val="left"/>
        <w:rPr>
          <w:rFonts w:ascii="黑体" w:hAnsi="黑体" w:eastAsia="黑体"/>
          <w:sz w:val="21"/>
          <w:szCs w:val="21"/>
        </w:rPr>
      </w:pPr>
      <w:r>
        <w:rPr>
          <w:rFonts w:ascii="黑体" w:hAnsi="黑体" w:eastAsia="黑体"/>
          <w:b/>
          <w:sz w:val="21"/>
          <w:szCs w:val="21"/>
        </w:rPr>
        <w:t>4.3</w:t>
      </w:r>
      <w:r>
        <w:rPr>
          <w:rFonts w:ascii="黑体" w:hAnsi="黑体" w:eastAsia="黑体"/>
          <w:sz w:val="21"/>
          <w:szCs w:val="21"/>
        </w:rPr>
        <w:t xml:space="preserve">  沉船及多体系统流场分布</w:t>
      </w:r>
    </w:p>
    <w:p>
      <w:pPr>
        <w:spacing w:line="120" w:lineRule="auto"/>
        <w:ind w:firstLine="420"/>
        <w:rPr>
          <w:rFonts w:cs="Times New Roman"/>
          <w:sz w:val="21"/>
          <w:szCs w:val="21"/>
        </w:rPr>
      </w:pPr>
      <w:r>
        <w:rPr>
          <w:rFonts w:cs="Times New Roman"/>
          <w:sz w:val="21"/>
          <w:szCs w:val="21"/>
        </w:rPr>
        <w:t>图13给出了不同流向角下沉船中纵剖面流场速度云图，从图中可以看出在沉船处于完全浸没状态，流向角对船体流速分布影响较大，尤其沉船尾楼附近流场变化较为剧烈，存在明显的涡流现象，且对流向角敏感</w:t>
      </w:r>
      <w:r>
        <w:rPr>
          <w:rFonts w:hint="eastAsia" w:cs="Times New Roman"/>
          <w:sz w:val="21"/>
          <w:szCs w:val="21"/>
        </w:rPr>
        <w:t>。</w:t>
      </w:r>
      <w:r>
        <w:rPr>
          <w:rFonts w:cs="Times New Roman"/>
          <w:sz w:val="21"/>
          <w:szCs w:val="21"/>
        </w:rPr>
        <w:t>图14给出不同流向角下多体系统自由面处流场图，从图中可以看出多体系统对流场的影响较大，沉船与抬吊驳之间的狭窄水域内部流速存在激变现象；受到多体之间的遮蔽效应，流向角对多体系统的流场分布规律影响较大。尾流场的影响区域与迎流截面积成正比，遮蔽区内部存在明显涡流现象。</w:t>
      </w:r>
    </w:p>
    <w:p>
      <w:pPr>
        <w:pStyle w:val="42"/>
      </w:pPr>
      <w:r>
        <w:drawing>
          <wp:inline distT="0" distB="0" distL="0" distR="0">
            <wp:extent cx="2258060" cy="1158875"/>
            <wp:effectExtent l="0" t="0" r="8890" b="3175"/>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258291" cy="1159018"/>
                    </a:xfrm>
                    <a:prstGeom prst="rect">
                      <a:avLst/>
                    </a:prstGeom>
                  </pic:spPr>
                </pic:pic>
              </a:graphicData>
            </a:graphic>
          </wp:inline>
        </w:drawing>
      </w:r>
    </w:p>
    <w:p>
      <w:pPr>
        <w:pStyle w:val="42"/>
        <w:numPr>
          <w:ilvl w:val="0"/>
          <w:numId w:val="6"/>
        </w:numPr>
        <w:ind w:left="0" w:firstLine="0"/>
        <w:rPr>
          <w:sz w:val="16"/>
          <w:szCs w:val="16"/>
        </w:rPr>
      </w:pPr>
      <w:r>
        <w:rPr>
          <w:sz w:val="16"/>
          <w:szCs w:val="16"/>
        </w:rPr>
        <w:t>沉船-浸没-0度</w:t>
      </w:r>
    </w:p>
    <w:p>
      <w:pPr>
        <w:pStyle w:val="42"/>
      </w:pPr>
      <w:r>
        <w:drawing>
          <wp:inline distT="0" distB="0" distL="0" distR="0">
            <wp:extent cx="2066925" cy="1060450"/>
            <wp:effectExtent l="0" t="0" r="0" b="635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144831" cy="1100786"/>
                    </a:xfrm>
                    <a:prstGeom prst="rect">
                      <a:avLst/>
                    </a:prstGeom>
                  </pic:spPr>
                </pic:pic>
              </a:graphicData>
            </a:graphic>
          </wp:inline>
        </w:drawing>
      </w:r>
    </w:p>
    <w:p>
      <w:pPr>
        <w:pStyle w:val="42"/>
        <w:numPr>
          <w:ilvl w:val="0"/>
          <w:numId w:val="6"/>
        </w:numPr>
        <w:ind w:left="0" w:firstLine="0"/>
        <w:rPr>
          <w:sz w:val="16"/>
          <w:szCs w:val="16"/>
        </w:rPr>
      </w:pPr>
      <w:r>
        <w:rPr>
          <w:sz w:val="16"/>
          <w:szCs w:val="16"/>
        </w:rPr>
        <w:t>沉船-浸没-0度-流线图</w:t>
      </w:r>
    </w:p>
    <w:p>
      <w:pPr>
        <w:pStyle w:val="42"/>
      </w:pPr>
      <w:r>
        <w:rPr>
          <w:sz w:val="21"/>
          <w:szCs w:val="20"/>
        </w:rPr>
        <w:drawing>
          <wp:inline distT="0" distB="0" distL="0" distR="0">
            <wp:extent cx="2078355" cy="1066800"/>
            <wp:effectExtent l="0" t="0" r="0" b="0"/>
            <wp:docPr id="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3"/>
                    <pic:cNvPicPr>
                      <a:picLocks noChangeAspect="1"/>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089846" cy="1072567"/>
                    </a:xfrm>
                    <a:prstGeom prst="rect">
                      <a:avLst/>
                    </a:prstGeom>
                  </pic:spPr>
                </pic:pic>
              </a:graphicData>
            </a:graphic>
          </wp:inline>
        </w:drawing>
      </w:r>
    </w:p>
    <w:p>
      <w:pPr>
        <w:pStyle w:val="42"/>
        <w:numPr>
          <w:ilvl w:val="0"/>
          <w:numId w:val="6"/>
        </w:numPr>
        <w:ind w:left="0" w:firstLine="0"/>
        <w:rPr>
          <w:sz w:val="16"/>
          <w:szCs w:val="16"/>
        </w:rPr>
      </w:pPr>
      <w:r>
        <w:rPr>
          <w:sz w:val="16"/>
          <w:szCs w:val="16"/>
        </w:rPr>
        <w:t>沉船-浸没-45度</w:t>
      </w:r>
    </w:p>
    <w:p>
      <w:pPr>
        <w:pStyle w:val="42"/>
        <w:rPr>
          <w:sz w:val="21"/>
          <w:szCs w:val="21"/>
        </w:rPr>
      </w:pPr>
      <w:r>
        <w:rPr>
          <w:sz w:val="21"/>
          <w:szCs w:val="20"/>
        </w:rPr>
        <w:drawing>
          <wp:inline distT="0" distB="0" distL="0" distR="0">
            <wp:extent cx="2066925" cy="1104900"/>
            <wp:effectExtent l="0" t="0" r="9525" b="0"/>
            <wp:docPr id="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1"/>
                    <pic:cNvPicPr>
                      <a:picLocks noChangeAspect="1"/>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088891" cy="1116612"/>
                    </a:xfrm>
                    <a:prstGeom prst="rect">
                      <a:avLst/>
                    </a:prstGeom>
                  </pic:spPr>
                </pic:pic>
              </a:graphicData>
            </a:graphic>
          </wp:inline>
        </w:drawing>
      </w:r>
    </w:p>
    <w:p>
      <w:pPr>
        <w:pStyle w:val="42"/>
        <w:numPr>
          <w:ilvl w:val="0"/>
          <w:numId w:val="6"/>
        </w:numPr>
        <w:ind w:left="0" w:firstLine="0"/>
        <w:rPr>
          <w:sz w:val="16"/>
          <w:szCs w:val="16"/>
        </w:rPr>
      </w:pPr>
      <w:r>
        <w:rPr>
          <w:sz w:val="16"/>
          <w:szCs w:val="16"/>
        </w:rPr>
        <w:t>沉船-浸没-90度</w:t>
      </w:r>
    </w:p>
    <w:p>
      <w:pPr>
        <w:pStyle w:val="42"/>
        <w:rPr>
          <w:sz w:val="21"/>
          <w:szCs w:val="21"/>
        </w:rPr>
      </w:pPr>
      <w:r>
        <w:rPr>
          <w:sz w:val="21"/>
          <w:szCs w:val="20"/>
        </w:rPr>
        <w:drawing>
          <wp:inline distT="0" distB="0" distL="0" distR="0">
            <wp:extent cx="1905000" cy="977265"/>
            <wp:effectExtent l="0" t="0" r="0" b="0"/>
            <wp:docPr id="3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0"/>
                    <pic:cNvPicPr>
                      <a:picLocks noChangeAspect="1"/>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917674" cy="984203"/>
                    </a:xfrm>
                    <a:prstGeom prst="rect">
                      <a:avLst/>
                    </a:prstGeom>
                  </pic:spPr>
                </pic:pic>
              </a:graphicData>
            </a:graphic>
          </wp:inline>
        </w:drawing>
      </w:r>
    </w:p>
    <w:p>
      <w:pPr>
        <w:pStyle w:val="42"/>
        <w:numPr>
          <w:ilvl w:val="0"/>
          <w:numId w:val="6"/>
        </w:numPr>
        <w:ind w:left="0" w:firstLine="0"/>
        <w:rPr>
          <w:sz w:val="16"/>
          <w:szCs w:val="16"/>
        </w:rPr>
      </w:pPr>
      <w:r>
        <w:rPr>
          <w:sz w:val="16"/>
          <w:szCs w:val="16"/>
        </w:rPr>
        <w:t>沉船-浸没-135度</w:t>
      </w:r>
    </w:p>
    <w:p>
      <w:pPr>
        <w:pStyle w:val="42"/>
        <w:rPr>
          <w:sz w:val="21"/>
          <w:szCs w:val="21"/>
        </w:rPr>
      </w:pPr>
      <w:r>
        <w:drawing>
          <wp:inline distT="0" distB="0" distL="0" distR="0">
            <wp:extent cx="2012950" cy="1033145"/>
            <wp:effectExtent l="0" t="0" r="6350" b="0"/>
            <wp:docPr id="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9"/>
                    <pic:cNvPicPr>
                      <a:picLocks noChangeAspect="1"/>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020867" cy="1037165"/>
                    </a:xfrm>
                    <a:prstGeom prst="rect">
                      <a:avLst/>
                    </a:prstGeom>
                  </pic:spPr>
                </pic:pic>
              </a:graphicData>
            </a:graphic>
          </wp:inline>
        </w:drawing>
      </w:r>
      <w:r>
        <w:rPr>
          <w:sz w:val="21"/>
          <w:szCs w:val="21"/>
        </w:rPr>
        <w:t xml:space="preserve"> </w:t>
      </w:r>
    </w:p>
    <w:p>
      <w:pPr>
        <w:pStyle w:val="42"/>
        <w:numPr>
          <w:ilvl w:val="0"/>
          <w:numId w:val="6"/>
        </w:numPr>
        <w:ind w:left="0" w:firstLine="0"/>
        <w:rPr>
          <w:sz w:val="16"/>
          <w:szCs w:val="16"/>
        </w:rPr>
      </w:pPr>
      <w:r>
        <w:rPr>
          <w:sz w:val="16"/>
          <w:szCs w:val="16"/>
        </w:rPr>
        <w:t>沉船-浸没-180度</w:t>
      </w:r>
      <w:r>
        <w:rPr>
          <w:sz w:val="21"/>
          <w:szCs w:val="21"/>
        </w:rPr>
        <w:t xml:space="preserve">                             </w:t>
      </w:r>
    </w:p>
    <w:p>
      <w:pPr>
        <w:pStyle w:val="28"/>
        <w:rPr>
          <w:rFonts w:cs="Times New Roman"/>
          <w:b w:val="0"/>
          <w:sz w:val="18"/>
          <w:szCs w:val="18"/>
        </w:rPr>
      </w:pPr>
      <w:r>
        <w:rPr>
          <w:rFonts w:cs="Times New Roman"/>
          <w:b w:val="0"/>
          <w:sz w:val="18"/>
          <w:szCs w:val="18"/>
        </w:rPr>
        <w:t>图13沉船中纵剖面流场速度云图</w:t>
      </w:r>
    </w:p>
    <w:p>
      <w:pPr>
        <w:pStyle w:val="42"/>
      </w:pPr>
      <w:r>
        <w:drawing>
          <wp:inline distT="0" distB="0" distL="0" distR="0">
            <wp:extent cx="1979930" cy="1014730"/>
            <wp:effectExtent l="0" t="0" r="1270" b="0"/>
            <wp:docPr id="57" name="图片 57" descr="D:\水动力及多体耦合数值计算\三维模型\HB0-cont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D:\水动力及多体耦合数值计算\三维模型\HB0-contour.pn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a:xfrm>
                      <a:off x="0" y="0"/>
                      <a:ext cx="1980000" cy="1015200"/>
                    </a:xfrm>
                    <a:prstGeom prst="rect">
                      <a:avLst/>
                    </a:prstGeom>
                    <a:noFill/>
                    <a:ln>
                      <a:noFill/>
                    </a:ln>
                  </pic:spPr>
                </pic:pic>
              </a:graphicData>
            </a:graphic>
          </wp:inline>
        </w:drawing>
      </w:r>
    </w:p>
    <w:p>
      <w:pPr>
        <w:pStyle w:val="42"/>
        <w:numPr>
          <w:ilvl w:val="0"/>
          <w:numId w:val="7"/>
        </w:numPr>
        <w:ind w:left="0" w:firstLine="0"/>
      </w:pPr>
      <w:r>
        <w:rPr>
          <w:sz w:val="16"/>
          <w:szCs w:val="16"/>
        </w:rPr>
        <w:t>0度-速度云图</w:t>
      </w:r>
    </w:p>
    <w:p>
      <w:pPr>
        <w:pStyle w:val="42"/>
        <w:spacing w:line="240" w:lineRule="atLeast"/>
      </w:pPr>
      <w:r>
        <w:rPr>
          <w:sz w:val="21"/>
          <w:szCs w:val="20"/>
        </w:rPr>
        <w:drawing>
          <wp:inline distT="0" distB="0" distL="0" distR="0">
            <wp:extent cx="1979930" cy="1014730"/>
            <wp:effectExtent l="0" t="0" r="1270" b="0"/>
            <wp:docPr id="61" name="图片 61" descr="D:\水动力及多体耦合数值计算\三维模型\HB45-cont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D:\水动力及多体耦合数值计算\三维模型\HB45-contour.pn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a:xfrm>
                      <a:off x="0" y="0"/>
                      <a:ext cx="1980000" cy="1015200"/>
                    </a:xfrm>
                    <a:prstGeom prst="rect">
                      <a:avLst/>
                    </a:prstGeom>
                    <a:noFill/>
                    <a:ln>
                      <a:noFill/>
                    </a:ln>
                  </pic:spPr>
                </pic:pic>
              </a:graphicData>
            </a:graphic>
          </wp:inline>
        </w:drawing>
      </w:r>
    </w:p>
    <w:p>
      <w:pPr>
        <w:pStyle w:val="42"/>
        <w:numPr>
          <w:ilvl w:val="0"/>
          <w:numId w:val="7"/>
        </w:numPr>
        <w:spacing w:line="240" w:lineRule="exact"/>
        <w:ind w:left="0" w:firstLine="0"/>
        <w:rPr>
          <w:sz w:val="16"/>
          <w:szCs w:val="16"/>
        </w:rPr>
      </w:pPr>
      <w:r>
        <w:rPr>
          <w:sz w:val="16"/>
          <w:szCs w:val="16"/>
        </w:rPr>
        <w:t>45度-速度云图</w:t>
      </w:r>
    </w:p>
    <w:p>
      <w:pPr>
        <w:pStyle w:val="42"/>
      </w:pPr>
      <w:r>
        <w:rPr>
          <w:sz w:val="21"/>
          <w:szCs w:val="20"/>
        </w:rPr>
        <w:drawing>
          <wp:inline distT="0" distB="0" distL="0" distR="0">
            <wp:extent cx="1924050" cy="1028700"/>
            <wp:effectExtent l="0" t="0" r="0" b="0"/>
            <wp:docPr id="65" name="图片 65" descr="D:\水动力及多体耦合数值计算\三维模型\HB90-cont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D:\水动力及多体耦合数值计算\三维模型\HB90-contour.pn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a:xfrm>
                      <a:off x="0" y="0"/>
                      <a:ext cx="1958780" cy="1046933"/>
                    </a:xfrm>
                    <a:prstGeom prst="rect">
                      <a:avLst/>
                    </a:prstGeom>
                    <a:noFill/>
                    <a:ln>
                      <a:noFill/>
                    </a:ln>
                  </pic:spPr>
                </pic:pic>
              </a:graphicData>
            </a:graphic>
          </wp:inline>
        </w:drawing>
      </w:r>
    </w:p>
    <w:p>
      <w:pPr>
        <w:pStyle w:val="42"/>
        <w:numPr>
          <w:ilvl w:val="0"/>
          <w:numId w:val="7"/>
        </w:numPr>
        <w:ind w:left="0" w:firstLine="0"/>
        <w:rPr>
          <w:sz w:val="16"/>
          <w:szCs w:val="16"/>
        </w:rPr>
      </w:pPr>
      <w:r>
        <w:rPr>
          <w:sz w:val="16"/>
          <w:szCs w:val="16"/>
        </w:rPr>
        <w:t>90度-速度云图</w:t>
      </w:r>
    </w:p>
    <w:p>
      <w:pPr>
        <w:pStyle w:val="42"/>
      </w:pPr>
      <w:r>
        <w:drawing>
          <wp:inline distT="0" distB="0" distL="0" distR="0">
            <wp:extent cx="1979930" cy="1014730"/>
            <wp:effectExtent l="0" t="0" r="1270" b="0"/>
            <wp:docPr id="58" name="图片 58" descr="D:\水动力及多体耦合数值计算\三维模型\HB0-stre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D:\水动力及多体耦合数值计算\三维模型\HB0-stream.pn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a:xfrm>
                      <a:off x="0" y="0"/>
                      <a:ext cx="1980000" cy="1015200"/>
                    </a:xfrm>
                    <a:prstGeom prst="rect">
                      <a:avLst/>
                    </a:prstGeom>
                    <a:noFill/>
                    <a:ln>
                      <a:noFill/>
                    </a:ln>
                  </pic:spPr>
                </pic:pic>
              </a:graphicData>
            </a:graphic>
          </wp:inline>
        </w:drawing>
      </w:r>
    </w:p>
    <w:p>
      <w:pPr>
        <w:pStyle w:val="42"/>
        <w:numPr>
          <w:ilvl w:val="0"/>
          <w:numId w:val="7"/>
        </w:numPr>
        <w:ind w:left="0" w:firstLine="0"/>
      </w:pPr>
      <w:r>
        <w:rPr>
          <w:sz w:val="16"/>
          <w:szCs w:val="16"/>
        </w:rPr>
        <w:t>0度-流线图</w:t>
      </w:r>
      <w:r>
        <w:rPr>
          <w:sz w:val="21"/>
          <w:szCs w:val="20"/>
        </w:rPr>
        <w:drawing>
          <wp:inline distT="0" distB="0" distL="0" distR="0">
            <wp:extent cx="1979930" cy="1014730"/>
            <wp:effectExtent l="0" t="0" r="1270" b="0"/>
            <wp:docPr id="62" name="图片 62" descr="D:\水动力及多体耦合数值计算\三维模型\HB45-stre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D:\水动力及多体耦合数值计算\三维模型\HB45-stream.pn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a:xfrm>
                      <a:off x="0" y="0"/>
                      <a:ext cx="1980000" cy="1015200"/>
                    </a:xfrm>
                    <a:prstGeom prst="rect">
                      <a:avLst/>
                    </a:prstGeom>
                    <a:noFill/>
                    <a:ln>
                      <a:noFill/>
                    </a:ln>
                  </pic:spPr>
                </pic:pic>
              </a:graphicData>
            </a:graphic>
          </wp:inline>
        </w:drawing>
      </w:r>
    </w:p>
    <w:p>
      <w:pPr>
        <w:pStyle w:val="42"/>
        <w:numPr>
          <w:ilvl w:val="0"/>
          <w:numId w:val="7"/>
        </w:numPr>
        <w:ind w:left="0" w:firstLine="0"/>
        <w:rPr>
          <w:sz w:val="16"/>
          <w:szCs w:val="16"/>
        </w:rPr>
      </w:pPr>
      <w:r>
        <w:rPr>
          <w:sz w:val="16"/>
          <w:szCs w:val="16"/>
        </w:rPr>
        <w:t>45度-流线图</w:t>
      </w:r>
    </w:p>
    <w:p>
      <w:pPr>
        <w:pStyle w:val="42"/>
      </w:pPr>
      <w:r>
        <w:rPr>
          <w:sz w:val="21"/>
          <w:szCs w:val="20"/>
        </w:rPr>
        <w:drawing>
          <wp:inline distT="0" distB="0" distL="0" distR="0">
            <wp:extent cx="1925955" cy="1029335"/>
            <wp:effectExtent l="0" t="0" r="0" b="0"/>
            <wp:docPr id="66" name="图片 66" descr="D:\水动力及多体耦合数值计算\三维模型\HB90-stre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D:\水动力及多体耦合数值计算\三维模型\HB90-stream.pn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a:xfrm>
                      <a:off x="0" y="0"/>
                      <a:ext cx="1926000" cy="1029600"/>
                    </a:xfrm>
                    <a:prstGeom prst="rect">
                      <a:avLst/>
                    </a:prstGeom>
                    <a:noFill/>
                    <a:ln>
                      <a:noFill/>
                    </a:ln>
                  </pic:spPr>
                </pic:pic>
              </a:graphicData>
            </a:graphic>
          </wp:inline>
        </w:drawing>
      </w:r>
    </w:p>
    <w:p>
      <w:pPr>
        <w:pStyle w:val="42"/>
        <w:numPr>
          <w:ilvl w:val="0"/>
          <w:numId w:val="7"/>
        </w:numPr>
        <w:ind w:left="0" w:firstLine="0"/>
        <w:rPr>
          <w:sz w:val="16"/>
          <w:szCs w:val="16"/>
        </w:rPr>
      </w:pPr>
      <w:r>
        <w:rPr>
          <w:sz w:val="16"/>
          <w:szCs w:val="16"/>
        </w:rPr>
        <w:t>90度-流线图</w:t>
      </w:r>
    </w:p>
    <w:p>
      <w:pPr>
        <w:pStyle w:val="42"/>
        <w:rPr>
          <w:sz w:val="21"/>
          <w:szCs w:val="20"/>
        </w:rPr>
      </w:pPr>
      <w:r>
        <w:rPr>
          <w:sz w:val="21"/>
          <w:szCs w:val="20"/>
        </w:rPr>
        <w:drawing>
          <wp:inline distT="0" distB="0" distL="0" distR="0">
            <wp:extent cx="1943735" cy="1040130"/>
            <wp:effectExtent l="0" t="0" r="0" b="7620"/>
            <wp:docPr id="69" name="图片 69" descr="D:\水动力及多体耦合数值计算\三维模型\HB135-cont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D:\水动力及多体耦合数值计算\三维模型\HB135-contour.pn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a:xfrm>
                      <a:off x="0" y="0"/>
                      <a:ext cx="1944000" cy="1040400"/>
                    </a:xfrm>
                    <a:prstGeom prst="rect">
                      <a:avLst/>
                    </a:prstGeom>
                    <a:noFill/>
                    <a:ln>
                      <a:noFill/>
                    </a:ln>
                  </pic:spPr>
                </pic:pic>
              </a:graphicData>
            </a:graphic>
          </wp:inline>
        </w:drawing>
      </w:r>
    </w:p>
    <w:p>
      <w:pPr>
        <w:pStyle w:val="42"/>
        <w:numPr>
          <w:ilvl w:val="0"/>
          <w:numId w:val="7"/>
        </w:numPr>
        <w:ind w:left="0" w:firstLine="0"/>
        <w:rPr>
          <w:sz w:val="16"/>
          <w:szCs w:val="16"/>
        </w:rPr>
      </w:pPr>
      <w:r>
        <w:rPr>
          <w:sz w:val="16"/>
          <w:szCs w:val="16"/>
        </w:rPr>
        <w:t>135度-速度云图</w:t>
      </w:r>
    </w:p>
    <w:p>
      <w:pPr>
        <w:pStyle w:val="42"/>
        <w:rPr>
          <w:sz w:val="21"/>
          <w:szCs w:val="20"/>
        </w:rPr>
      </w:pPr>
      <w:r>
        <w:rPr>
          <w:sz w:val="21"/>
          <w:szCs w:val="20"/>
        </w:rPr>
        <w:drawing>
          <wp:inline distT="0" distB="0" distL="0" distR="0">
            <wp:extent cx="1943735" cy="1040130"/>
            <wp:effectExtent l="0" t="0" r="0" b="7620"/>
            <wp:docPr id="71" name="图片 71" descr="D:\水动力及多体耦合数值计算\三维模型\HB150-cont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D:\水动力及多体耦合数值计算\三维模型\HB150-contour.pn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a:xfrm>
                      <a:off x="0" y="0"/>
                      <a:ext cx="1944000" cy="1040400"/>
                    </a:xfrm>
                    <a:prstGeom prst="rect">
                      <a:avLst/>
                    </a:prstGeom>
                    <a:noFill/>
                    <a:ln>
                      <a:noFill/>
                    </a:ln>
                  </pic:spPr>
                </pic:pic>
              </a:graphicData>
            </a:graphic>
          </wp:inline>
        </w:drawing>
      </w:r>
    </w:p>
    <w:p>
      <w:pPr>
        <w:pStyle w:val="42"/>
        <w:numPr>
          <w:ilvl w:val="0"/>
          <w:numId w:val="7"/>
        </w:numPr>
        <w:ind w:left="0" w:firstLine="0"/>
        <w:rPr>
          <w:sz w:val="16"/>
          <w:szCs w:val="16"/>
        </w:rPr>
      </w:pPr>
      <w:r>
        <w:rPr>
          <w:sz w:val="16"/>
          <w:szCs w:val="16"/>
        </w:rPr>
        <w:t>150度-速度云图</w:t>
      </w:r>
    </w:p>
    <w:p>
      <w:pPr>
        <w:pStyle w:val="42"/>
        <w:rPr>
          <w:sz w:val="21"/>
          <w:szCs w:val="20"/>
        </w:rPr>
      </w:pPr>
      <w:r>
        <w:rPr>
          <w:sz w:val="21"/>
          <w:szCs w:val="20"/>
        </w:rPr>
        <w:drawing>
          <wp:inline distT="0" distB="0" distL="0" distR="0">
            <wp:extent cx="2033905" cy="1047115"/>
            <wp:effectExtent l="0" t="0" r="4445" b="635"/>
            <wp:docPr id="73" name="图片 73" descr="D:\水动力及多体耦合数值计算\三维模型\HB180-cont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D:\水动力及多体耦合数值计算\三维模型\HB180-contour.pn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a:xfrm>
                      <a:off x="0" y="0"/>
                      <a:ext cx="2034000" cy="1047600"/>
                    </a:xfrm>
                    <a:prstGeom prst="rect">
                      <a:avLst/>
                    </a:prstGeom>
                    <a:noFill/>
                    <a:ln>
                      <a:noFill/>
                    </a:ln>
                  </pic:spPr>
                </pic:pic>
              </a:graphicData>
            </a:graphic>
          </wp:inline>
        </w:drawing>
      </w:r>
    </w:p>
    <w:p>
      <w:pPr>
        <w:pStyle w:val="42"/>
        <w:numPr>
          <w:ilvl w:val="0"/>
          <w:numId w:val="7"/>
        </w:numPr>
        <w:ind w:left="0" w:firstLine="0"/>
        <w:rPr>
          <w:sz w:val="16"/>
          <w:szCs w:val="16"/>
        </w:rPr>
      </w:pPr>
      <w:r>
        <w:rPr>
          <w:sz w:val="16"/>
          <w:szCs w:val="16"/>
        </w:rPr>
        <w:t>180度-速度云图</w:t>
      </w:r>
    </w:p>
    <w:p>
      <w:pPr>
        <w:pStyle w:val="42"/>
        <w:rPr>
          <w:sz w:val="21"/>
          <w:szCs w:val="20"/>
        </w:rPr>
      </w:pPr>
      <w:r>
        <w:rPr>
          <w:sz w:val="21"/>
          <w:szCs w:val="20"/>
        </w:rPr>
        <w:drawing>
          <wp:inline distT="0" distB="0" distL="0" distR="0">
            <wp:extent cx="1947545" cy="1040765"/>
            <wp:effectExtent l="0" t="0" r="0" b="6985"/>
            <wp:docPr id="70" name="图片 70" descr="D:\水动力及多体耦合数值计算\三维模型\HB135-stre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D:\水动力及多体耦合数值计算\三维模型\HB135-stream.pn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a:xfrm>
                      <a:off x="0" y="0"/>
                      <a:ext cx="1973693" cy="1054906"/>
                    </a:xfrm>
                    <a:prstGeom prst="rect">
                      <a:avLst/>
                    </a:prstGeom>
                    <a:noFill/>
                    <a:ln>
                      <a:noFill/>
                    </a:ln>
                  </pic:spPr>
                </pic:pic>
              </a:graphicData>
            </a:graphic>
          </wp:inline>
        </w:drawing>
      </w:r>
    </w:p>
    <w:p>
      <w:pPr>
        <w:pStyle w:val="42"/>
        <w:numPr>
          <w:ilvl w:val="0"/>
          <w:numId w:val="7"/>
        </w:numPr>
        <w:ind w:left="0" w:firstLine="0"/>
        <w:rPr>
          <w:sz w:val="16"/>
          <w:szCs w:val="16"/>
        </w:rPr>
      </w:pPr>
      <w:r>
        <w:rPr>
          <w:sz w:val="16"/>
          <w:szCs w:val="16"/>
        </w:rPr>
        <w:t>135度-流线图</w:t>
      </w:r>
    </w:p>
    <w:p>
      <w:pPr>
        <w:pStyle w:val="42"/>
        <w:rPr>
          <w:sz w:val="21"/>
          <w:szCs w:val="20"/>
        </w:rPr>
      </w:pPr>
      <w:r>
        <w:rPr>
          <w:sz w:val="21"/>
          <w:szCs w:val="20"/>
        </w:rPr>
        <w:drawing>
          <wp:inline distT="0" distB="0" distL="0" distR="0">
            <wp:extent cx="1952625" cy="1043940"/>
            <wp:effectExtent l="0" t="0" r="9525" b="3810"/>
            <wp:docPr id="72" name="图片 72" descr="D:\水动力及多体耦合数值计算\三维模型\HB150-stre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D:\水动力及多体耦合数值计算\三维模型\HB150-stream.pn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a:xfrm>
                      <a:off x="0" y="0"/>
                      <a:ext cx="1977961" cy="1057185"/>
                    </a:xfrm>
                    <a:prstGeom prst="rect">
                      <a:avLst/>
                    </a:prstGeom>
                    <a:noFill/>
                    <a:ln>
                      <a:noFill/>
                    </a:ln>
                  </pic:spPr>
                </pic:pic>
              </a:graphicData>
            </a:graphic>
          </wp:inline>
        </w:drawing>
      </w:r>
    </w:p>
    <w:p>
      <w:pPr>
        <w:pStyle w:val="42"/>
        <w:numPr>
          <w:ilvl w:val="0"/>
          <w:numId w:val="7"/>
        </w:numPr>
        <w:ind w:left="0" w:firstLine="0"/>
        <w:rPr>
          <w:sz w:val="16"/>
          <w:szCs w:val="16"/>
        </w:rPr>
      </w:pPr>
      <w:r>
        <w:rPr>
          <w:sz w:val="16"/>
          <w:szCs w:val="16"/>
        </w:rPr>
        <w:t>150度-流线图</w:t>
      </w:r>
    </w:p>
    <w:p>
      <w:pPr>
        <w:pStyle w:val="42"/>
        <w:rPr>
          <w:sz w:val="21"/>
          <w:szCs w:val="20"/>
        </w:rPr>
      </w:pPr>
      <w:r>
        <w:rPr>
          <w:sz w:val="21"/>
          <w:szCs w:val="20"/>
        </w:rPr>
        <w:drawing>
          <wp:inline distT="0" distB="0" distL="0" distR="0">
            <wp:extent cx="2025650" cy="1039495"/>
            <wp:effectExtent l="0" t="0" r="0" b="8255"/>
            <wp:docPr id="74" name="图片 74" descr="D:\水动力及多体耦合数值计算\三维模型\HB180-stre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D:\水动力及多体耦合数值计算\三维模型\HB180-stream.pn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a:xfrm>
                      <a:off x="0" y="0"/>
                      <a:ext cx="2051680" cy="1052760"/>
                    </a:xfrm>
                    <a:prstGeom prst="rect">
                      <a:avLst/>
                    </a:prstGeom>
                    <a:noFill/>
                    <a:ln>
                      <a:noFill/>
                    </a:ln>
                  </pic:spPr>
                </pic:pic>
              </a:graphicData>
            </a:graphic>
          </wp:inline>
        </w:drawing>
      </w:r>
    </w:p>
    <w:p>
      <w:pPr>
        <w:pStyle w:val="42"/>
        <w:numPr>
          <w:ilvl w:val="0"/>
          <w:numId w:val="7"/>
        </w:numPr>
        <w:ind w:left="0" w:firstLine="0"/>
        <w:rPr>
          <w:sz w:val="16"/>
          <w:szCs w:val="16"/>
        </w:rPr>
      </w:pPr>
      <w:r>
        <w:rPr>
          <w:sz w:val="16"/>
          <w:szCs w:val="16"/>
        </w:rPr>
        <w:t>180度-流线图</w:t>
      </w:r>
    </w:p>
    <w:p>
      <w:pPr>
        <w:pStyle w:val="28"/>
        <w:rPr>
          <w:rFonts w:cs="Times New Roman"/>
          <w:b w:val="0"/>
          <w:sz w:val="18"/>
          <w:szCs w:val="18"/>
        </w:rPr>
      </w:pPr>
      <w:r>
        <w:rPr>
          <w:rFonts w:cs="Times New Roman"/>
          <w:b w:val="0"/>
          <w:sz w:val="18"/>
          <w:szCs w:val="18"/>
        </w:rPr>
        <w:t>图 14多体系统自由面处流场图</w:t>
      </w:r>
    </w:p>
    <w:p>
      <w:pPr>
        <w:ind w:firstLine="0" w:firstLineChars="0"/>
        <w:outlineLvl w:val="0"/>
        <w:rPr>
          <w:rFonts w:eastAsia="仿宋" w:cs="Times New Roman"/>
          <w:b/>
          <w:sz w:val="28"/>
          <w:szCs w:val="28"/>
        </w:rPr>
      </w:pPr>
      <w:r>
        <w:rPr>
          <w:rFonts w:eastAsia="仿宋" w:cs="Times New Roman"/>
          <w:b/>
          <w:sz w:val="28"/>
          <w:szCs w:val="28"/>
        </w:rPr>
        <w:t xml:space="preserve">5 </w:t>
      </w:r>
      <w:r>
        <w:rPr>
          <w:rFonts w:eastAsia="仿宋" w:cs="Times New Roman"/>
          <w:sz w:val="28"/>
          <w:szCs w:val="28"/>
        </w:rPr>
        <w:t>结论</w:t>
      </w:r>
    </w:p>
    <w:p>
      <w:pPr>
        <w:spacing w:line="120" w:lineRule="auto"/>
        <w:ind w:firstLine="420"/>
        <w:rPr>
          <w:rFonts w:cs="Times New Roman"/>
          <w:sz w:val="21"/>
          <w:szCs w:val="21"/>
        </w:rPr>
      </w:pPr>
      <w:r>
        <w:rPr>
          <w:rFonts w:cs="Times New Roman"/>
          <w:sz w:val="21"/>
          <w:szCs w:val="21"/>
        </w:rPr>
        <w:t>本文基于粘性流体理论，</w:t>
      </w:r>
      <w:r>
        <w:rPr>
          <w:rFonts w:hint="eastAsia" w:cs="Times New Roman"/>
          <w:sz w:val="21"/>
          <w:szCs w:val="21"/>
        </w:rPr>
        <w:t>以</w:t>
      </w:r>
      <w:r>
        <w:rPr>
          <w:rFonts w:cs="Times New Roman"/>
          <w:sz w:val="21"/>
          <w:szCs w:val="21"/>
        </w:rPr>
        <w:t>300 m 水深使用双驳船抬吊法整体打捞大吨位沉船为研究案例，借助 CFD 软件 FINE/Marine对双驳船抬吊法在深水海域整体打捞大型沉船作业过程中受到的流载荷进行数值计算分析。</w:t>
      </w:r>
    </w:p>
    <w:p>
      <w:pPr>
        <w:spacing w:line="120" w:lineRule="auto"/>
        <w:ind w:firstLine="420"/>
        <w:rPr>
          <w:rFonts w:cs="Times New Roman"/>
          <w:sz w:val="21"/>
          <w:szCs w:val="21"/>
        </w:rPr>
      </w:pPr>
      <w:r>
        <w:rPr>
          <w:rFonts w:cs="Times New Roman"/>
          <w:sz w:val="21"/>
          <w:szCs w:val="21"/>
        </w:rPr>
        <w:t>对于沉船在提升过程中处于完全浸没状态时，计算得出沉船位于不同水深，受到不同海流情况下的流载荷和流力系数，并给出各流向下的流场分布，通过分析发现不同水深和流速下的流力系数相差不大。</w:t>
      </w:r>
    </w:p>
    <w:p>
      <w:pPr>
        <w:spacing w:line="120" w:lineRule="auto"/>
        <w:ind w:firstLine="420"/>
        <w:rPr>
          <w:rFonts w:cs="Times New Roman"/>
          <w:sz w:val="21"/>
          <w:szCs w:val="21"/>
        </w:rPr>
      </w:pPr>
      <w:r>
        <w:rPr>
          <w:rFonts w:cs="Times New Roman"/>
          <w:sz w:val="21"/>
          <w:szCs w:val="21"/>
        </w:rPr>
        <w:t>对于沉船被提升出水后与双抬吊驳船形成的多体系统，计算得出其流载荷和流力系数，给出各流向下的流场分布，通过分析发现船体狭窄间隙存在流速激变现象，多体系统的遮蔽效应明显。</w:t>
      </w:r>
    </w:p>
    <w:p>
      <w:pPr>
        <w:spacing w:line="120" w:lineRule="auto"/>
        <w:ind w:firstLine="420"/>
        <w:rPr>
          <w:rFonts w:cs="Times New Roman"/>
          <w:sz w:val="21"/>
          <w:szCs w:val="21"/>
        </w:rPr>
      </w:pPr>
      <w:r>
        <w:rPr>
          <w:rFonts w:cs="Times New Roman"/>
          <w:sz w:val="21"/>
          <w:szCs w:val="21"/>
        </w:rPr>
        <w:t>本文相关研究结果可以</w:t>
      </w:r>
      <w:r>
        <w:rPr>
          <w:rFonts w:hint="eastAsia" w:cs="Times New Roman"/>
          <w:sz w:val="21"/>
          <w:szCs w:val="21"/>
        </w:rPr>
        <w:t>为</w:t>
      </w:r>
      <w:r>
        <w:rPr>
          <w:rFonts w:cs="Times New Roman"/>
          <w:sz w:val="21"/>
          <w:szCs w:val="21"/>
        </w:rPr>
        <w:t>打捞系统水动力及运动特性分析提供数据支持，为实际工程中打捞方案的前期设计提供重要的参考依据</w:t>
      </w:r>
      <w:r>
        <w:rPr>
          <w:rFonts w:hint="eastAsia" w:cs="Times New Roman"/>
          <w:sz w:val="21"/>
          <w:szCs w:val="21"/>
        </w:rPr>
        <w:t>。</w:t>
      </w:r>
    </w:p>
    <w:p>
      <w:pPr>
        <w:spacing w:after="120" w:line="120" w:lineRule="auto"/>
        <w:ind w:firstLine="0" w:firstLineChars="0"/>
        <w:jc w:val="center"/>
        <w:rPr>
          <w:rFonts w:eastAsia="黑体" w:cs="Times New Roman"/>
          <w:sz w:val="21"/>
          <w:szCs w:val="21"/>
        </w:rPr>
      </w:pPr>
      <w:r>
        <w:rPr>
          <w:rFonts w:eastAsia="黑体" w:cs="Times New Roman"/>
          <w:sz w:val="21"/>
          <w:szCs w:val="21"/>
        </w:rPr>
        <w:t>参 考 文 献：</w:t>
      </w:r>
    </w:p>
    <w:p>
      <w:pPr>
        <w:pStyle w:val="3"/>
        <w:widowControl/>
        <w:numPr>
          <w:ilvl w:val="0"/>
          <w:numId w:val="8"/>
        </w:numPr>
        <w:tabs>
          <w:tab w:val="left" w:pos="284"/>
        </w:tabs>
        <w:spacing w:after="0"/>
        <w:ind w:left="0" w:leftChars="0" w:firstLine="0" w:firstLineChars="0"/>
        <w:rPr>
          <w:rFonts w:cs="Times New Roman"/>
          <w:sz w:val="18"/>
          <w:szCs w:val="18"/>
        </w:rPr>
      </w:pPr>
      <w:r>
        <w:rPr>
          <w:rFonts w:cs="Times New Roman"/>
          <w:sz w:val="18"/>
          <w:szCs w:val="18"/>
        </w:rPr>
        <w:t>李人志. 双驳抬撬沉船打捞液压试验平台研究与设计[D]. 大连:大连海事大学,2020.</w:t>
      </w:r>
    </w:p>
    <w:p>
      <w:pPr>
        <w:pStyle w:val="3"/>
        <w:widowControl/>
        <w:numPr>
          <w:ilvl w:val="0"/>
          <w:numId w:val="8"/>
        </w:numPr>
        <w:tabs>
          <w:tab w:val="left" w:pos="284"/>
        </w:tabs>
        <w:spacing w:after="0"/>
        <w:ind w:left="0" w:leftChars="0" w:firstLine="0" w:firstLineChars="0"/>
        <w:rPr>
          <w:rFonts w:cs="Times New Roman"/>
          <w:sz w:val="18"/>
          <w:szCs w:val="18"/>
        </w:rPr>
      </w:pPr>
      <w:r>
        <w:rPr>
          <w:rFonts w:cs="Times New Roman"/>
          <w:sz w:val="18"/>
          <w:szCs w:val="18"/>
        </w:rPr>
        <w:t>潘德位,林成新,孙德平等. 我国沉船打捞技术的研究现状[C]// 第八届中国国际救捞论坛论论文集. 上海:中国航海学会,2015:160-165.</w:t>
      </w:r>
    </w:p>
    <w:p>
      <w:pPr>
        <w:pStyle w:val="3"/>
        <w:widowControl/>
        <w:numPr>
          <w:ilvl w:val="0"/>
          <w:numId w:val="8"/>
        </w:numPr>
        <w:tabs>
          <w:tab w:val="left" w:pos="284"/>
        </w:tabs>
        <w:spacing w:after="0"/>
        <w:ind w:left="0" w:leftChars="0" w:firstLine="0" w:firstLineChars="0"/>
        <w:rPr>
          <w:rFonts w:cs="Times New Roman"/>
          <w:sz w:val="18"/>
          <w:szCs w:val="18"/>
        </w:rPr>
      </w:pPr>
      <w:r>
        <w:rPr>
          <w:rFonts w:cs="Times New Roman"/>
          <w:sz w:val="18"/>
          <w:szCs w:val="18"/>
        </w:rPr>
        <w:t>Kume K,Hasegawa J,Tsukada Y,et al. Measurements of hydrodynamic forces, surface pressure, and wake for obliquely towed tanker model and uncertainty analysis for CFD validation[J]. Journal of Marine Science and Technology, 2006, 11(2): 65-75.</w:t>
      </w:r>
    </w:p>
    <w:p>
      <w:pPr>
        <w:pStyle w:val="3"/>
        <w:widowControl/>
        <w:numPr>
          <w:ilvl w:val="0"/>
          <w:numId w:val="8"/>
        </w:numPr>
        <w:tabs>
          <w:tab w:val="left" w:pos="284"/>
        </w:tabs>
        <w:spacing w:after="0"/>
        <w:ind w:left="0" w:leftChars="0" w:firstLine="0" w:firstLineChars="0"/>
        <w:rPr>
          <w:rFonts w:cs="Times New Roman"/>
          <w:sz w:val="18"/>
          <w:szCs w:val="18"/>
        </w:rPr>
      </w:pPr>
      <w:r>
        <w:rPr>
          <w:rFonts w:cs="Times New Roman"/>
          <w:sz w:val="18"/>
          <w:szCs w:val="18"/>
        </w:rPr>
        <w:t>倪歆韵,陈江峰.船舶风载荷和流载荷数值模拟计算方法研究[J].水动力学研究与进展A 辑，2013,28(4):408-413．</w:t>
      </w:r>
    </w:p>
    <w:p>
      <w:pPr>
        <w:pStyle w:val="3"/>
        <w:widowControl/>
        <w:numPr>
          <w:ilvl w:val="0"/>
          <w:numId w:val="8"/>
        </w:numPr>
        <w:tabs>
          <w:tab w:val="left" w:pos="284"/>
        </w:tabs>
        <w:spacing w:after="0"/>
        <w:ind w:left="0" w:leftChars="0" w:firstLine="0" w:firstLineChars="0"/>
        <w:rPr>
          <w:rFonts w:cs="Times New Roman"/>
          <w:sz w:val="18"/>
          <w:szCs w:val="18"/>
        </w:rPr>
      </w:pPr>
      <w:r>
        <w:rPr>
          <w:rFonts w:cs="Times New Roman"/>
          <w:sz w:val="18"/>
          <w:szCs w:val="18"/>
        </w:rPr>
        <w:t>田喜民,邹早建,王化明.</w:t>
      </w:r>
      <w:r>
        <w:rPr>
          <w:rFonts w:cs="Times New Roman"/>
        </w:rPr>
        <w:t xml:space="preserve"> </w:t>
      </w:r>
      <w:r>
        <w:rPr>
          <w:rFonts w:cs="Times New Roman"/>
          <w:sz w:val="18"/>
          <w:szCs w:val="18"/>
        </w:rPr>
        <w:t>KVLCC2 船模斜航运动粘性流场及水动力数值计算[J].船舶力学,2010,14(8):834-840.</w:t>
      </w:r>
    </w:p>
    <w:p>
      <w:pPr>
        <w:pStyle w:val="3"/>
        <w:widowControl/>
        <w:numPr>
          <w:ilvl w:val="0"/>
          <w:numId w:val="8"/>
        </w:numPr>
        <w:tabs>
          <w:tab w:val="left" w:pos="284"/>
        </w:tabs>
        <w:spacing w:after="0"/>
        <w:ind w:left="0" w:leftChars="0" w:firstLine="0" w:firstLineChars="0"/>
        <w:rPr>
          <w:rFonts w:cs="Times New Roman"/>
          <w:sz w:val="18"/>
          <w:szCs w:val="18"/>
        </w:rPr>
      </w:pPr>
      <w:r>
        <w:rPr>
          <w:rFonts w:cs="Times New Roman"/>
          <w:sz w:val="18"/>
          <w:szCs w:val="18"/>
        </w:rPr>
        <w:t>秦飞,王平.两船并靠作业流载荷研究[J]. 船舶,2013,24(3):1-6.</w:t>
      </w:r>
    </w:p>
    <w:p>
      <w:pPr>
        <w:pStyle w:val="3"/>
        <w:widowControl/>
        <w:numPr>
          <w:ilvl w:val="0"/>
          <w:numId w:val="8"/>
        </w:numPr>
        <w:tabs>
          <w:tab w:val="left" w:pos="284"/>
        </w:tabs>
        <w:spacing w:after="0"/>
        <w:ind w:left="0" w:leftChars="0" w:firstLine="0" w:firstLineChars="0"/>
        <w:rPr>
          <w:rFonts w:cs="Times New Roman"/>
          <w:sz w:val="18"/>
          <w:szCs w:val="18"/>
        </w:rPr>
      </w:pPr>
      <w:r>
        <w:rPr>
          <w:rFonts w:cs="Times New Roman"/>
          <w:sz w:val="18"/>
          <w:szCs w:val="18"/>
        </w:rPr>
        <w:t>于佳晖. 多用途船并靠多浮体海上基地水动力研究[D]. 天津:天津大学,2019.</w:t>
      </w:r>
    </w:p>
    <w:p>
      <w:pPr>
        <w:pStyle w:val="3"/>
        <w:widowControl/>
        <w:numPr>
          <w:ilvl w:val="0"/>
          <w:numId w:val="8"/>
        </w:numPr>
        <w:tabs>
          <w:tab w:val="left" w:pos="284"/>
        </w:tabs>
        <w:spacing w:after="0"/>
        <w:ind w:left="0" w:leftChars="0" w:firstLine="0" w:firstLineChars="0"/>
        <w:rPr>
          <w:rFonts w:cs="Times New Roman"/>
          <w:sz w:val="18"/>
          <w:szCs w:val="18"/>
        </w:rPr>
      </w:pPr>
      <w:r>
        <w:rPr>
          <w:rFonts w:cs="Times New Roman"/>
          <w:sz w:val="18"/>
          <w:szCs w:val="18"/>
        </w:rPr>
        <w:t>Jang Pyo Hong,Seok-Kyu Cho,Yun Ho Kim. Numerical Study of Current Forces Acting on Floating Bodies in Side-by-Side Configuration [C]. Proceedings of the Twenty-sixth</w:t>
      </w:r>
      <w:r>
        <w:rPr>
          <w:rFonts w:hint="eastAsia" w:cs="Times New Roman"/>
          <w:sz w:val="18"/>
          <w:szCs w:val="18"/>
        </w:rPr>
        <w:t>　</w:t>
      </w:r>
      <w:r>
        <w:rPr>
          <w:rFonts w:cs="Times New Roman"/>
          <w:sz w:val="18"/>
          <w:szCs w:val="18"/>
        </w:rPr>
        <w:t>International Ocean and Polar Engineering Conference, International Society of Offshore and Polar Engineers (ISOPE), Rhodes, Greece, 2016:543-551.</w:t>
      </w:r>
    </w:p>
    <w:p>
      <w:pPr>
        <w:pStyle w:val="3"/>
        <w:widowControl/>
        <w:numPr>
          <w:ilvl w:val="0"/>
          <w:numId w:val="8"/>
        </w:numPr>
        <w:tabs>
          <w:tab w:val="left" w:pos="284"/>
        </w:tabs>
        <w:spacing w:after="0"/>
        <w:ind w:left="0" w:leftChars="0" w:firstLine="0" w:firstLineChars="0"/>
        <w:rPr>
          <w:rFonts w:cs="Times New Roman"/>
          <w:sz w:val="18"/>
          <w:szCs w:val="18"/>
        </w:rPr>
      </w:pPr>
      <w:r>
        <w:rPr>
          <w:rFonts w:cs="Times New Roman"/>
          <w:sz w:val="18"/>
          <w:szCs w:val="18"/>
        </w:rPr>
        <w:t>汤翔宇. 非对称半潜式起重平台水动力及运动响应特性研究[D]. 江苏:江苏科技大学,2020.</w:t>
      </w:r>
    </w:p>
    <w:p>
      <w:pPr>
        <w:pStyle w:val="3"/>
        <w:widowControl/>
        <w:numPr>
          <w:ilvl w:val="0"/>
          <w:numId w:val="8"/>
        </w:numPr>
        <w:tabs>
          <w:tab w:val="left" w:pos="284"/>
        </w:tabs>
        <w:spacing w:after="0"/>
        <w:ind w:left="0" w:leftChars="0" w:firstLine="0" w:firstLineChars="0"/>
        <w:rPr>
          <w:rFonts w:cs="Times New Roman"/>
          <w:sz w:val="18"/>
          <w:szCs w:val="18"/>
        </w:rPr>
      </w:pPr>
      <w:r>
        <w:rPr>
          <w:rFonts w:cs="Times New Roman"/>
          <w:sz w:val="18"/>
          <w:szCs w:val="18"/>
        </w:rPr>
        <w:t xml:space="preserve">Menter F R. Zonal tow equation </w:t>
      </w:r>
      <w:r>
        <w:rPr>
          <w:rFonts w:cs="Times New Roman"/>
        </w:rPr>
        <w:t>k-ω turbulence models for aerodynamic flows[R]. AIAA-93-2906,1993.</w:t>
      </w:r>
    </w:p>
    <w:p>
      <w:pPr>
        <w:pStyle w:val="3"/>
        <w:widowControl/>
        <w:numPr>
          <w:ilvl w:val="0"/>
          <w:numId w:val="8"/>
        </w:numPr>
        <w:tabs>
          <w:tab w:val="left" w:pos="284"/>
        </w:tabs>
        <w:spacing w:after="0"/>
        <w:ind w:left="0" w:leftChars="0" w:firstLine="0" w:firstLineChars="0"/>
        <w:rPr>
          <w:rFonts w:cs="Times New Roman"/>
          <w:sz w:val="18"/>
          <w:szCs w:val="18"/>
        </w:rPr>
      </w:pPr>
      <w:r>
        <w:rPr>
          <w:rFonts w:cs="Times New Roman"/>
          <w:sz w:val="18"/>
          <w:szCs w:val="18"/>
        </w:rPr>
        <w:t>User Guide of HEXPRESS™ 7.2 [M/CD]. http://www.numeca.com.</w:t>
      </w:r>
    </w:p>
    <w:p>
      <w:pPr>
        <w:pStyle w:val="3"/>
        <w:widowControl/>
        <w:numPr>
          <w:ilvl w:val="0"/>
          <w:numId w:val="8"/>
        </w:numPr>
        <w:tabs>
          <w:tab w:val="left" w:pos="284"/>
        </w:tabs>
        <w:spacing w:after="0"/>
        <w:ind w:left="0" w:leftChars="0" w:firstLine="0" w:firstLineChars="0"/>
        <w:rPr>
          <w:rFonts w:cs="Times New Roman"/>
          <w:sz w:val="18"/>
          <w:szCs w:val="18"/>
        </w:rPr>
        <w:sectPr>
          <w:headerReference r:id="rId12" w:type="first"/>
          <w:headerReference r:id="rId11" w:type="default"/>
          <w:footerReference r:id="rId13" w:type="default"/>
          <w:pgSz w:w="11906" w:h="16838"/>
          <w:pgMar w:top="1440" w:right="1797" w:bottom="1440" w:left="1797" w:header="851" w:footer="794" w:gutter="0"/>
          <w:pgBorders>
            <w:top w:val="thinThickSmallGap" w:color="auto" w:sz="24" w:space="1"/>
          </w:pgBorders>
          <w:cols w:space="400" w:num="2"/>
          <w:titlePg/>
          <w:docGrid w:type="lines" w:linePitch="310" w:charSpace="-3240"/>
        </w:sectPr>
      </w:pPr>
      <w:r>
        <w:rPr>
          <w:rFonts w:cs="Times New Roman"/>
          <w:sz w:val="18"/>
          <w:szCs w:val="18"/>
        </w:rPr>
        <w:t>国家海洋环境预报中心南海数值预报[EB/OL].http://www.nmefc.cn/hailiu/nanhai.asp</w:t>
      </w:r>
    </w:p>
    <w:p>
      <w:pPr>
        <w:pStyle w:val="3"/>
        <w:widowControl/>
        <w:spacing w:after="0"/>
        <w:ind w:left="0" w:leftChars="0" w:firstLine="0" w:firstLineChars="0"/>
        <w:rPr>
          <w:rFonts w:cs="Times New Roman"/>
          <w:sz w:val="18"/>
          <w:szCs w:val="18"/>
        </w:rPr>
      </w:pPr>
    </w:p>
    <w:p>
      <w:pPr>
        <w:pStyle w:val="3"/>
        <w:widowControl/>
        <w:spacing w:after="0"/>
        <w:ind w:left="0" w:leftChars="0" w:firstLine="0" w:firstLineChars="0"/>
        <w:rPr>
          <w:rFonts w:cs="Times New Roman"/>
          <w:sz w:val="18"/>
          <w:szCs w:val="18"/>
        </w:rPr>
      </w:pPr>
    </w:p>
    <w:sectPr>
      <w:type w:val="continuous"/>
      <w:pgSz w:w="11906" w:h="16838"/>
      <w:pgMar w:top="1588" w:right="1134" w:bottom="1531" w:left="1134" w:header="1077" w:footer="1191" w:gutter="227"/>
      <w:pgBorders>
        <w:top w:val="thinThickSmallGap" w:color="auto" w:sz="24" w:space="1"/>
      </w:pgBorders>
      <w:cols w:space="400" w:num="2"/>
      <w:docGrid w:type="linesAndChars" w:linePitch="304" w:charSpace="97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400"/>
      </w:pPr>
      <w:r>
        <w:separator/>
      </w:r>
    </w:p>
  </w:endnote>
  <w:endnote w:type="continuationSeparator" w:id="1">
    <w:p>
      <w:pPr>
        <w:ind w:firstLine="4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0000000000000000000"/>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Arial">
    <w:panose1 w:val="020B0604020202020204"/>
    <w:charset w:val="00"/>
    <w:family w:val="swiss"/>
    <w:pitch w:val="default"/>
    <w:sig w:usb0="E0002AFF" w:usb1="C0007843" w:usb2="00000009" w:usb3="00000000" w:csb0="400001FF" w:csb1="FFFF0000"/>
  </w:font>
  <w:font w:name="等线 Light">
    <w:altName w:val="宋体"/>
    <w:panose1 w:val="00000000000000000000"/>
    <w:charset w:val="86"/>
    <w:family w:val="auto"/>
    <w:pitch w:val="default"/>
    <w:sig w:usb0="00000000" w:usb1="00000000" w:usb2="00000016" w:usb3="00000000" w:csb0="0004000F"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top w:val="single" w:color="auto" w:sz="6" w:space="1"/>
      </w:pBdr>
      <w:ind w:right="6206" w:rightChars="3103" w:firstLine="0" w:firstLineChars="0"/>
      <w:rPr>
        <w:rFonts w:cs="Times New Roman"/>
        <w:color w:val="0000FF"/>
        <w:sz w:val="18"/>
        <w:szCs w:val="18"/>
        <w:u w:val="single"/>
        <w:lang w:val="pt-B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3176938"/>
    </w:sdtPr>
    <w:sdtContent>
      <w:p>
        <w:pPr>
          <w:pStyle w:val="12"/>
          <w:ind w:firstLine="360"/>
          <w:jc w:val="center"/>
        </w:pPr>
        <w:r>
          <w:fldChar w:fldCharType="begin"/>
        </w:r>
        <w:r>
          <w:instrText xml:space="preserve"> PAGE   \* MERGEFORMAT </w:instrText>
        </w:r>
        <w:r>
          <w:fldChar w:fldCharType="separate"/>
        </w:r>
        <w:r>
          <w:rPr>
            <w:lang w:val="zh-CN"/>
          </w:rPr>
          <w:t>6</w:t>
        </w:r>
        <w:r>
          <w:rPr>
            <w:lang w:val="zh-CN"/>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400"/>
      </w:pPr>
      <w:r>
        <w:separator/>
      </w:r>
    </w:p>
  </w:footnote>
  <w:footnote w:type="continuationSeparator" w:id="1">
    <w:p>
      <w:pPr>
        <w:ind w:firstLine="40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ind w:firstLine="0" w:firstLineChars="0"/>
      <w:jc w:val="left"/>
      <w:rPr>
        <w:rFonts w:cs="Times New Roma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r>
      <w:rPr>
        <w:rFonts w:hint="eastAsia"/>
      </w:rPr>
      <w:t>刘雨，等：深水沉船打捞多体系统流载荷计算分析</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single" w:color="auto" w:sz="4" w:space="1"/>
      </w:pBdr>
      <w:spacing w:line="240" w:lineRule="exact"/>
      <w:ind w:firstLine="0" w:firstLineChars="0"/>
      <w:jc w:val="right"/>
      <w:rPr>
        <w:rFonts w:ascii="宋体" w:hAnsi="宋体" w:cs="宋体"/>
      </w:rPr>
    </w:pPr>
    <w:r>
      <w:rPr>
        <w:rFonts w:hint="eastAsia" w:ascii="宋体" w:hAnsi="宋体" w:cs="宋体"/>
      </w:rPr>
      <w:t xml:space="preserve"> </w:t>
    </w:r>
    <w:r>
      <w:rPr>
        <w:rFonts w:ascii="宋体" w:hAnsi="宋体" w:cs="宋体"/>
      </w:rPr>
      <w:t xml:space="preserve">          </w:t>
    </w:r>
    <w:r>
      <w:rPr>
        <w:rFonts w:hint="eastAsia" w:ascii="宋体" w:hAnsi="宋体" w:cs="宋体"/>
      </w:rPr>
      <w:t xml:space="preserve">刘雨，等：深水沉船打捞多体系统流载荷计算分析 </w:t>
    </w:r>
    <w:r>
      <w:rPr>
        <w:rFonts w:ascii="宋体" w:hAnsi="宋体" w:cs="宋体"/>
      </w:rPr>
      <w:t xml:space="preserve">                   </w:t>
    </w:r>
    <w:r>
      <w:rPr>
        <w:rFonts w:cs="Times New Roman"/>
      </w:rPr>
      <w:t xml:space="preserve"> </w:t>
    </w:r>
    <w:r>
      <w:rPr>
        <w:rFonts w:cs="Times New Roman"/>
      </w:rPr>
      <w:fldChar w:fldCharType="begin"/>
    </w:r>
    <w:r>
      <w:rPr>
        <w:rFonts w:cs="Times New Roman"/>
      </w:rPr>
      <w:instrText xml:space="preserve">PAGE   \* MERGEFORMAT</w:instrText>
    </w:r>
    <w:r>
      <w:rPr>
        <w:rFonts w:cs="Times New Roman"/>
      </w:rPr>
      <w:fldChar w:fldCharType="separate"/>
    </w:r>
    <w:r>
      <w:rPr>
        <w:rFonts w:cs="Times New Roman"/>
        <w:lang w:val="zh-CN"/>
      </w:rPr>
      <w:t>9</w:t>
    </w:r>
    <w:r>
      <w:rPr>
        <w:rFonts w:cs="Times New Roman"/>
      </w:rPr>
      <w:fldChar w:fldCharType="end"/>
    </w:r>
  </w:p>
  <w:p>
    <w:pPr>
      <w:ind w:firstLine="260"/>
      <w:rPr>
        <w:sz w:val="13"/>
        <w:szCs w:val="1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single" w:color="auto" w:sz="4" w:space="1"/>
      </w:pBdr>
      <w:spacing w:line="240" w:lineRule="exact"/>
      <w:ind w:firstLine="0" w:firstLineChars="0"/>
      <w:jc w:val="right"/>
      <w:rPr>
        <w:rFonts w:ascii="宋体" w:hAnsi="宋体" w:cs="宋体"/>
      </w:rPr>
    </w:pPr>
    <w:r>
      <w:rPr>
        <w:rFonts w:hint="eastAsia" w:ascii="宋体" w:hAnsi="宋体" w:cs="宋体"/>
      </w:rPr>
      <w:t xml:space="preserve"> </w:t>
    </w:r>
    <w:r>
      <w:rPr>
        <w:rFonts w:ascii="宋体" w:hAnsi="宋体" w:cs="宋体"/>
      </w:rPr>
      <w:t xml:space="preserve">          </w:t>
    </w:r>
    <w:r>
      <w:rPr>
        <w:rFonts w:hint="eastAsia" w:ascii="宋体" w:hAnsi="宋体" w:cs="宋体"/>
      </w:rPr>
      <w:t xml:space="preserve">刘雨，等：深水沉船打捞多体系统流载荷计算分析 </w:t>
    </w:r>
    <w:r>
      <w:rPr>
        <w:rFonts w:ascii="宋体" w:hAnsi="宋体" w:cs="宋体"/>
      </w:rPr>
      <w:t xml:space="preserve">                   </w:t>
    </w:r>
    <w:r>
      <w:rPr>
        <w:rFonts w:cs="Times New Roman"/>
      </w:rPr>
      <w:t xml:space="preserve"> </w:t>
    </w:r>
    <w:r>
      <w:rPr>
        <w:rFonts w:cs="Times New Roman"/>
      </w:rPr>
      <w:fldChar w:fldCharType="begin"/>
    </w:r>
    <w:r>
      <w:rPr>
        <w:rFonts w:cs="Times New Roman"/>
      </w:rPr>
      <w:instrText xml:space="preserve">PAGE   \* MERGEFORMAT</w:instrText>
    </w:r>
    <w:r>
      <w:rPr>
        <w:rFonts w:cs="Times New Roman"/>
      </w:rPr>
      <w:fldChar w:fldCharType="separate"/>
    </w:r>
    <w:r>
      <w:rPr>
        <w:rFonts w:cs="Times New Roman"/>
      </w:rPr>
      <w:t>10</w:t>
    </w:r>
    <w:r>
      <w:rPr>
        <w:rFonts w:cs="Times New Roman"/>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single" w:color="auto" w:sz="4" w:space="1"/>
      </w:pBdr>
      <w:spacing w:line="240" w:lineRule="exact"/>
      <w:ind w:firstLine="0" w:firstLineChars="0"/>
      <w:jc w:val="right"/>
      <w:rPr>
        <w:rFonts w:ascii="宋体" w:hAnsi="宋体" w:cs="宋体"/>
      </w:rPr>
    </w:pPr>
    <w:r>
      <w:rPr>
        <w:rFonts w:hint="eastAsia" w:ascii="宋体" w:hAnsi="宋体" w:cs="宋体"/>
      </w:rPr>
      <w:t xml:space="preserve"> </w:t>
    </w:r>
    <w:r>
      <w:rPr>
        <w:rFonts w:ascii="宋体" w:hAnsi="宋体" w:cs="宋体"/>
      </w:rPr>
      <w:t xml:space="preserve">          </w:t>
    </w:r>
    <w:r>
      <w:rPr>
        <w:rFonts w:hint="eastAsia" w:ascii="宋体" w:hAnsi="宋体" w:cs="宋体"/>
      </w:rPr>
      <w:t xml:space="preserve">刘雨，等：深水沉船打捞多体系统流载荷计算分析 </w:t>
    </w:r>
    <w:r>
      <w:rPr>
        <w:rFonts w:ascii="宋体" w:hAnsi="宋体" w:cs="宋体"/>
      </w:rPr>
      <w:t xml:space="preserve">                   </w:t>
    </w:r>
    <w:r>
      <w:rPr>
        <w:rFonts w:cs="Times New Roman"/>
      </w:rPr>
      <w:t xml:space="preserve"> </w:t>
    </w:r>
    <w:r>
      <w:rPr>
        <w:rFonts w:cs="Times New Roman"/>
      </w:rPr>
      <w:fldChar w:fldCharType="begin"/>
    </w:r>
    <w:r>
      <w:rPr>
        <w:rFonts w:cs="Times New Roman"/>
      </w:rPr>
      <w:instrText xml:space="preserve">PAGE   \* MERGEFORMAT</w:instrText>
    </w:r>
    <w:r>
      <w:rPr>
        <w:rFonts w:cs="Times New Roman"/>
      </w:rPr>
      <w:fldChar w:fldCharType="separate"/>
    </w:r>
    <w:r>
      <w:rPr>
        <w:rFonts w:cs="Times New Roman"/>
        <w:lang w:val="zh-CN"/>
      </w:rPr>
      <w:t>3</w:t>
    </w:r>
    <w:r>
      <w:rPr>
        <w:rFonts w:cs="Times New Roman"/>
      </w:rPr>
      <w:fldChar w:fldCharType="end"/>
    </w:r>
  </w:p>
  <w:p>
    <w:pPr>
      <w:ind w:firstLine="260"/>
      <w:rPr>
        <w:sz w:val="13"/>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BEB6BDF"/>
    <w:multiLevelType w:val="multilevel"/>
    <w:tmpl w:val="0BEB6BDF"/>
    <w:lvl w:ilvl="0" w:tentative="0">
      <w:start w:val="0"/>
      <w:numFmt w:val="decimal"/>
      <w:pStyle w:val="2"/>
      <w:lvlText w:val="%1"/>
      <w:lvlJc w:val="left"/>
      <w:pPr>
        <w:ind w:left="425" w:hanging="425"/>
      </w:pPr>
      <w:rPr>
        <w:rFonts w:hint="eastAsia"/>
      </w:rPr>
    </w:lvl>
    <w:lvl w:ilvl="1" w:tentative="0">
      <w:start w:val="1"/>
      <w:numFmt w:val="decimal"/>
      <w:pStyle w:val="5"/>
      <w:lvlText w:val="%1.%2"/>
      <w:lvlJc w:val="left"/>
      <w:pPr>
        <w:ind w:left="992" w:hanging="567"/>
      </w:pPr>
      <w:rPr>
        <w:rFonts w:hint="eastAsia"/>
      </w:rPr>
    </w:lvl>
    <w:lvl w:ilvl="2" w:tentative="0">
      <w:start w:val="1"/>
      <w:numFmt w:val="decimal"/>
      <w:pStyle w:val="6"/>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
    <w:nsid w:val="12115446"/>
    <w:multiLevelType w:val="multilevel"/>
    <w:tmpl w:val="12115446"/>
    <w:lvl w:ilvl="0" w:tentative="0">
      <w:start w:val="1"/>
      <w:numFmt w:val="low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2F2B538F"/>
    <w:multiLevelType w:val="multilevel"/>
    <w:tmpl w:val="2F2B538F"/>
    <w:lvl w:ilvl="0" w:tentative="0">
      <w:start w:val="1"/>
      <w:numFmt w:val="lowerLetter"/>
      <w:lvlText w:val="%1)"/>
      <w:lvlJc w:val="left"/>
      <w:pPr>
        <w:ind w:left="360" w:hanging="360"/>
      </w:pPr>
      <w:rPr>
        <w:rFonts w:hint="default"/>
        <w:sz w:val="16"/>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344E5C2F"/>
    <w:multiLevelType w:val="multilevel"/>
    <w:tmpl w:val="344E5C2F"/>
    <w:lvl w:ilvl="0" w:tentative="0">
      <w:start w:val="1"/>
      <w:numFmt w:val="lowerLetter"/>
      <w:lvlText w:val="%1)"/>
      <w:lvlJc w:val="left"/>
      <w:pPr>
        <w:ind w:left="360" w:hanging="360"/>
      </w:pPr>
      <w:rPr>
        <w:rFonts w:ascii="Times New Roman" w:hAnsi="Times New Roman" w:eastAsia="宋体" w:cstheme="minorBidi"/>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415E6C8F"/>
    <w:multiLevelType w:val="multilevel"/>
    <w:tmpl w:val="415E6C8F"/>
    <w:lvl w:ilvl="0" w:tentative="0">
      <w:start w:val="1"/>
      <w:numFmt w:val="decimal"/>
      <w:lvlText w:val="[%1]"/>
      <w:lvlJc w:val="left"/>
      <w:pPr>
        <w:ind w:left="624" w:hanging="340"/>
      </w:pPr>
      <w:rPr>
        <w:rFonts w:hint="default" w:ascii="Times New Roman" w:hAnsi="Times New Roman" w:cs="宋体"/>
        <w:sz w:val="18"/>
        <w:szCs w:val="18"/>
      </w:rPr>
    </w:lvl>
    <w:lvl w:ilvl="1" w:tentative="0">
      <w:start w:val="1"/>
      <w:numFmt w:val="lowerLetter"/>
      <w:lvlText w:val="%2)"/>
      <w:lvlJc w:val="left"/>
      <w:pPr>
        <w:ind w:left="1124" w:hanging="420"/>
      </w:pPr>
      <w:rPr>
        <w:rFonts w:hint="eastAsia"/>
      </w:rPr>
    </w:lvl>
    <w:lvl w:ilvl="2" w:tentative="0">
      <w:start w:val="1"/>
      <w:numFmt w:val="lowerRoman"/>
      <w:lvlText w:val="%3."/>
      <w:lvlJc w:val="right"/>
      <w:pPr>
        <w:ind w:left="1544" w:hanging="420"/>
      </w:pPr>
      <w:rPr>
        <w:rFonts w:hint="eastAsia"/>
      </w:rPr>
    </w:lvl>
    <w:lvl w:ilvl="3" w:tentative="0">
      <w:start w:val="1"/>
      <w:numFmt w:val="decimal"/>
      <w:lvlText w:val="%4."/>
      <w:lvlJc w:val="left"/>
      <w:pPr>
        <w:ind w:left="1964" w:hanging="420"/>
      </w:pPr>
      <w:rPr>
        <w:rFonts w:hint="eastAsia"/>
      </w:rPr>
    </w:lvl>
    <w:lvl w:ilvl="4" w:tentative="0">
      <w:start w:val="1"/>
      <w:numFmt w:val="lowerLetter"/>
      <w:lvlText w:val="%5)"/>
      <w:lvlJc w:val="left"/>
      <w:pPr>
        <w:ind w:left="2384" w:hanging="420"/>
      </w:pPr>
      <w:rPr>
        <w:rFonts w:hint="eastAsia"/>
      </w:rPr>
    </w:lvl>
    <w:lvl w:ilvl="5" w:tentative="0">
      <w:start w:val="1"/>
      <w:numFmt w:val="lowerRoman"/>
      <w:lvlText w:val="%6."/>
      <w:lvlJc w:val="right"/>
      <w:pPr>
        <w:ind w:left="2804" w:hanging="420"/>
      </w:pPr>
      <w:rPr>
        <w:rFonts w:hint="eastAsia"/>
      </w:rPr>
    </w:lvl>
    <w:lvl w:ilvl="6" w:tentative="0">
      <w:start w:val="1"/>
      <w:numFmt w:val="decimal"/>
      <w:lvlText w:val="%7."/>
      <w:lvlJc w:val="left"/>
      <w:pPr>
        <w:ind w:left="3224" w:hanging="420"/>
      </w:pPr>
      <w:rPr>
        <w:rFonts w:hint="eastAsia"/>
      </w:rPr>
    </w:lvl>
    <w:lvl w:ilvl="7" w:tentative="0">
      <w:start w:val="1"/>
      <w:numFmt w:val="lowerLetter"/>
      <w:lvlText w:val="%8)"/>
      <w:lvlJc w:val="left"/>
      <w:pPr>
        <w:ind w:left="3644" w:hanging="420"/>
      </w:pPr>
      <w:rPr>
        <w:rFonts w:hint="eastAsia"/>
      </w:rPr>
    </w:lvl>
    <w:lvl w:ilvl="8" w:tentative="0">
      <w:start w:val="1"/>
      <w:numFmt w:val="lowerRoman"/>
      <w:lvlText w:val="%9."/>
      <w:lvlJc w:val="right"/>
      <w:pPr>
        <w:ind w:left="4064" w:hanging="420"/>
      </w:pPr>
      <w:rPr>
        <w:rFonts w:hint="eastAsia"/>
      </w:rPr>
    </w:lvl>
  </w:abstractNum>
  <w:abstractNum w:abstractNumId="5">
    <w:nsid w:val="4DD0741B"/>
    <w:multiLevelType w:val="multilevel"/>
    <w:tmpl w:val="4DD0741B"/>
    <w:lvl w:ilvl="0" w:tentative="0">
      <w:start w:val="1"/>
      <w:numFmt w:val="lowerLetter"/>
      <w:lvlText w:val="%1)"/>
      <w:lvlJc w:val="left"/>
      <w:pPr>
        <w:ind w:left="746" w:hanging="360"/>
      </w:pPr>
      <w:rPr>
        <w:rFonts w:hint="default"/>
      </w:rPr>
    </w:lvl>
    <w:lvl w:ilvl="1" w:tentative="0">
      <w:start w:val="1"/>
      <w:numFmt w:val="lowerLetter"/>
      <w:lvlText w:val="%2)"/>
      <w:lvlJc w:val="left"/>
      <w:pPr>
        <w:ind w:left="1226" w:hanging="420"/>
      </w:pPr>
    </w:lvl>
    <w:lvl w:ilvl="2" w:tentative="0">
      <w:start w:val="1"/>
      <w:numFmt w:val="lowerRoman"/>
      <w:lvlText w:val="%3."/>
      <w:lvlJc w:val="right"/>
      <w:pPr>
        <w:ind w:left="1646" w:hanging="420"/>
      </w:pPr>
    </w:lvl>
    <w:lvl w:ilvl="3" w:tentative="0">
      <w:start w:val="1"/>
      <w:numFmt w:val="decimal"/>
      <w:lvlText w:val="%4."/>
      <w:lvlJc w:val="left"/>
      <w:pPr>
        <w:ind w:left="2066" w:hanging="420"/>
      </w:pPr>
    </w:lvl>
    <w:lvl w:ilvl="4" w:tentative="0">
      <w:start w:val="1"/>
      <w:numFmt w:val="lowerLetter"/>
      <w:lvlText w:val="%5)"/>
      <w:lvlJc w:val="left"/>
      <w:pPr>
        <w:ind w:left="2486" w:hanging="420"/>
      </w:pPr>
    </w:lvl>
    <w:lvl w:ilvl="5" w:tentative="0">
      <w:start w:val="1"/>
      <w:numFmt w:val="lowerRoman"/>
      <w:lvlText w:val="%6."/>
      <w:lvlJc w:val="right"/>
      <w:pPr>
        <w:ind w:left="2906" w:hanging="420"/>
      </w:pPr>
    </w:lvl>
    <w:lvl w:ilvl="6" w:tentative="0">
      <w:start w:val="1"/>
      <w:numFmt w:val="decimal"/>
      <w:lvlText w:val="%7."/>
      <w:lvlJc w:val="left"/>
      <w:pPr>
        <w:ind w:left="3326" w:hanging="420"/>
      </w:pPr>
    </w:lvl>
    <w:lvl w:ilvl="7" w:tentative="0">
      <w:start w:val="1"/>
      <w:numFmt w:val="lowerLetter"/>
      <w:lvlText w:val="%8)"/>
      <w:lvlJc w:val="left"/>
      <w:pPr>
        <w:ind w:left="3746" w:hanging="420"/>
      </w:pPr>
    </w:lvl>
    <w:lvl w:ilvl="8" w:tentative="0">
      <w:start w:val="1"/>
      <w:numFmt w:val="lowerRoman"/>
      <w:lvlText w:val="%9."/>
      <w:lvlJc w:val="right"/>
      <w:pPr>
        <w:ind w:left="4166" w:hanging="420"/>
      </w:pPr>
    </w:lvl>
  </w:abstractNum>
  <w:abstractNum w:abstractNumId="6">
    <w:nsid w:val="73AA0210"/>
    <w:multiLevelType w:val="multilevel"/>
    <w:tmpl w:val="73AA0210"/>
    <w:lvl w:ilvl="0" w:tentative="0">
      <w:start w:val="1"/>
      <w:numFmt w:val="decimal"/>
      <w:lvlText w:val="%1)"/>
      <w:lvlJc w:val="left"/>
      <w:pPr>
        <w:ind w:left="1129" w:hanging="420"/>
      </w:pPr>
    </w:lvl>
    <w:lvl w:ilvl="1" w:tentative="0">
      <w:start w:val="1"/>
      <w:numFmt w:val="lowerLetter"/>
      <w:lvlText w:val="%2)"/>
      <w:lvlJc w:val="left"/>
      <w:pPr>
        <w:ind w:left="1549" w:hanging="420"/>
      </w:pPr>
    </w:lvl>
    <w:lvl w:ilvl="2" w:tentative="0">
      <w:start w:val="1"/>
      <w:numFmt w:val="lowerRoman"/>
      <w:lvlText w:val="%3."/>
      <w:lvlJc w:val="right"/>
      <w:pPr>
        <w:ind w:left="1969" w:hanging="420"/>
      </w:pPr>
    </w:lvl>
    <w:lvl w:ilvl="3" w:tentative="0">
      <w:start w:val="1"/>
      <w:numFmt w:val="decimal"/>
      <w:lvlText w:val="%4."/>
      <w:lvlJc w:val="left"/>
      <w:pPr>
        <w:ind w:left="2389" w:hanging="420"/>
      </w:pPr>
    </w:lvl>
    <w:lvl w:ilvl="4" w:tentative="0">
      <w:start w:val="1"/>
      <w:numFmt w:val="lowerLetter"/>
      <w:lvlText w:val="%5)"/>
      <w:lvlJc w:val="left"/>
      <w:pPr>
        <w:ind w:left="2809" w:hanging="420"/>
      </w:pPr>
    </w:lvl>
    <w:lvl w:ilvl="5" w:tentative="0">
      <w:start w:val="1"/>
      <w:numFmt w:val="lowerRoman"/>
      <w:lvlText w:val="%6."/>
      <w:lvlJc w:val="right"/>
      <w:pPr>
        <w:ind w:left="3229" w:hanging="420"/>
      </w:pPr>
    </w:lvl>
    <w:lvl w:ilvl="6" w:tentative="0">
      <w:start w:val="1"/>
      <w:numFmt w:val="decimal"/>
      <w:lvlText w:val="%7."/>
      <w:lvlJc w:val="left"/>
      <w:pPr>
        <w:ind w:left="3649" w:hanging="420"/>
      </w:pPr>
    </w:lvl>
    <w:lvl w:ilvl="7" w:tentative="0">
      <w:start w:val="1"/>
      <w:numFmt w:val="lowerLetter"/>
      <w:lvlText w:val="%8)"/>
      <w:lvlJc w:val="left"/>
      <w:pPr>
        <w:ind w:left="4069" w:hanging="420"/>
      </w:pPr>
    </w:lvl>
    <w:lvl w:ilvl="8" w:tentative="0">
      <w:start w:val="1"/>
      <w:numFmt w:val="lowerRoman"/>
      <w:lvlText w:val="%9."/>
      <w:lvlJc w:val="right"/>
      <w:pPr>
        <w:ind w:left="4489" w:hanging="420"/>
      </w:pPr>
    </w:lvl>
  </w:abstractNum>
  <w:abstractNum w:abstractNumId="7">
    <w:nsid w:val="745B224D"/>
    <w:multiLevelType w:val="multilevel"/>
    <w:tmpl w:val="745B224D"/>
    <w:lvl w:ilvl="0" w:tentative="0">
      <w:start w:val="1"/>
      <w:numFmt w:val="decimal"/>
      <w:lvlText w:val="%1)"/>
      <w:lvlJc w:val="left"/>
      <w:pPr>
        <w:ind w:left="794" w:hanging="511"/>
      </w:pPr>
      <w:rPr>
        <w:rFonts w:hint="eastAsia"/>
      </w:rPr>
    </w:lvl>
    <w:lvl w:ilvl="1" w:tentative="0">
      <w:start w:val="1"/>
      <w:numFmt w:val="lowerLetter"/>
      <w:lvlText w:val="%2)"/>
      <w:lvlJc w:val="left"/>
      <w:pPr>
        <w:ind w:left="1123" w:hanging="420"/>
      </w:pPr>
    </w:lvl>
    <w:lvl w:ilvl="2" w:tentative="0">
      <w:start w:val="1"/>
      <w:numFmt w:val="lowerRoman"/>
      <w:lvlText w:val="%3."/>
      <w:lvlJc w:val="right"/>
      <w:pPr>
        <w:ind w:left="1543" w:hanging="420"/>
      </w:pPr>
    </w:lvl>
    <w:lvl w:ilvl="3" w:tentative="0">
      <w:start w:val="1"/>
      <w:numFmt w:val="decimal"/>
      <w:lvlText w:val="%4."/>
      <w:lvlJc w:val="left"/>
      <w:pPr>
        <w:ind w:left="1963" w:hanging="420"/>
      </w:pPr>
    </w:lvl>
    <w:lvl w:ilvl="4" w:tentative="0">
      <w:start w:val="1"/>
      <w:numFmt w:val="lowerLetter"/>
      <w:lvlText w:val="%5)"/>
      <w:lvlJc w:val="left"/>
      <w:pPr>
        <w:ind w:left="2383" w:hanging="420"/>
      </w:pPr>
    </w:lvl>
    <w:lvl w:ilvl="5" w:tentative="0">
      <w:start w:val="1"/>
      <w:numFmt w:val="lowerRoman"/>
      <w:lvlText w:val="%6."/>
      <w:lvlJc w:val="right"/>
      <w:pPr>
        <w:ind w:left="2803" w:hanging="420"/>
      </w:pPr>
    </w:lvl>
    <w:lvl w:ilvl="6" w:tentative="0">
      <w:start w:val="1"/>
      <w:numFmt w:val="decimal"/>
      <w:lvlText w:val="%7."/>
      <w:lvlJc w:val="left"/>
      <w:pPr>
        <w:ind w:left="3223" w:hanging="420"/>
      </w:pPr>
    </w:lvl>
    <w:lvl w:ilvl="7" w:tentative="0">
      <w:start w:val="1"/>
      <w:numFmt w:val="lowerLetter"/>
      <w:lvlText w:val="%8)"/>
      <w:lvlJc w:val="left"/>
      <w:pPr>
        <w:ind w:left="3643" w:hanging="420"/>
      </w:pPr>
    </w:lvl>
    <w:lvl w:ilvl="8" w:tentative="0">
      <w:start w:val="1"/>
      <w:numFmt w:val="lowerRoman"/>
      <w:lvlText w:val="%9."/>
      <w:lvlJc w:val="right"/>
      <w:pPr>
        <w:ind w:left="4063" w:hanging="420"/>
      </w:pPr>
    </w:lvl>
  </w:abstractNum>
  <w:num w:numId="1">
    <w:abstractNumId w:val="0"/>
  </w:num>
  <w:num w:numId="2">
    <w:abstractNumId w:val="7"/>
  </w:num>
  <w:num w:numId="3">
    <w:abstractNumId w:val="6"/>
  </w:num>
  <w:num w:numId="4">
    <w:abstractNumId w:val="5"/>
  </w:num>
  <w:num w:numId="5">
    <w:abstractNumId w:val="3"/>
  </w:num>
  <w:num w:numId="6">
    <w:abstractNumId w:val="1"/>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alignBordersAndEdges w:val="1"/>
  <w:bordersDoNotSurroundHeader w:val="1"/>
  <w:bordersDoNotSurroundFooter w:val="1"/>
  <w:documentProtection w:enforcement="0"/>
  <w:defaultTabStop w:val="300"/>
  <w:drawingGridHorizontalSpacing w:val="92"/>
  <w:drawingGridVerticalSpacing w:val="155"/>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NiNTk2MjMyOGMxZGM2YjRmZTM2ZWIxNTUwMmQxNmUifQ=="/>
  </w:docVars>
  <w:rsids>
    <w:rsidRoot w:val="009363C2"/>
    <w:rsid w:val="00001603"/>
    <w:rsid w:val="000028F3"/>
    <w:rsid w:val="00002A21"/>
    <w:rsid w:val="00002FD9"/>
    <w:rsid w:val="00003868"/>
    <w:rsid w:val="0000397B"/>
    <w:rsid w:val="00004AD6"/>
    <w:rsid w:val="00004F6C"/>
    <w:rsid w:val="00005604"/>
    <w:rsid w:val="0000653F"/>
    <w:rsid w:val="000071B1"/>
    <w:rsid w:val="0001032D"/>
    <w:rsid w:val="0001127C"/>
    <w:rsid w:val="00012474"/>
    <w:rsid w:val="000133F3"/>
    <w:rsid w:val="000139EF"/>
    <w:rsid w:val="00013C0F"/>
    <w:rsid w:val="000140B3"/>
    <w:rsid w:val="00016932"/>
    <w:rsid w:val="000169FC"/>
    <w:rsid w:val="00016DEB"/>
    <w:rsid w:val="0002025B"/>
    <w:rsid w:val="00020873"/>
    <w:rsid w:val="000208ED"/>
    <w:rsid w:val="0002144D"/>
    <w:rsid w:val="00021AE2"/>
    <w:rsid w:val="000228BF"/>
    <w:rsid w:val="000238A5"/>
    <w:rsid w:val="000266D5"/>
    <w:rsid w:val="00026BB4"/>
    <w:rsid w:val="00027FD2"/>
    <w:rsid w:val="0003150B"/>
    <w:rsid w:val="00032234"/>
    <w:rsid w:val="000330E3"/>
    <w:rsid w:val="000340B9"/>
    <w:rsid w:val="00035216"/>
    <w:rsid w:val="0003528F"/>
    <w:rsid w:val="00036BF8"/>
    <w:rsid w:val="000412C1"/>
    <w:rsid w:val="000412E4"/>
    <w:rsid w:val="00042357"/>
    <w:rsid w:val="000423CB"/>
    <w:rsid w:val="00042CF0"/>
    <w:rsid w:val="000431CB"/>
    <w:rsid w:val="00043BCB"/>
    <w:rsid w:val="000452AC"/>
    <w:rsid w:val="000452BA"/>
    <w:rsid w:val="000454F3"/>
    <w:rsid w:val="000454FC"/>
    <w:rsid w:val="00045E95"/>
    <w:rsid w:val="00046BA5"/>
    <w:rsid w:val="00047035"/>
    <w:rsid w:val="000501D8"/>
    <w:rsid w:val="00050322"/>
    <w:rsid w:val="00050C4F"/>
    <w:rsid w:val="000520A7"/>
    <w:rsid w:val="0005211B"/>
    <w:rsid w:val="000528DB"/>
    <w:rsid w:val="0005362F"/>
    <w:rsid w:val="00053F93"/>
    <w:rsid w:val="00054001"/>
    <w:rsid w:val="00054124"/>
    <w:rsid w:val="000545C8"/>
    <w:rsid w:val="000549E7"/>
    <w:rsid w:val="00056E45"/>
    <w:rsid w:val="0005717A"/>
    <w:rsid w:val="000614F4"/>
    <w:rsid w:val="00064D37"/>
    <w:rsid w:val="00066C54"/>
    <w:rsid w:val="0006764E"/>
    <w:rsid w:val="00067A0A"/>
    <w:rsid w:val="00067C91"/>
    <w:rsid w:val="00067E53"/>
    <w:rsid w:val="00071B96"/>
    <w:rsid w:val="00071FA7"/>
    <w:rsid w:val="00072016"/>
    <w:rsid w:val="00072BE4"/>
    <w:rsid w:val="00073640"/>
    <w:rsid w:val="00073898"/>
    <w:rsid w:val="00074208"/>
    <w:rsid w:val="00075C5C"/>
    <w:rsid w:val="00076117"/>
    <w:rsid w:val="00076AEF"/>
    <w:rsid w:val="00080411"/>
    <w:rsid w:val="000805EF"/>
    <w:rsid w:val="000809BA"/>
    <w:rsid w:val="00081EEF"/>
    <w:rsid w:val="0008232A"/>
    <w:rsid w:val="00082F58"/>
    <w:rsid w:val="0008375F"/>
    <w:rsid w:val="00083827"/>
    <w:rsid w:val="00084A90"/>
    <w:rsid w:val="000855BE"/>
    <w:rsid w:val="0008710E"/>
    <w:rsid w:val="00087274"/>
    <w:rsid w:val="00087B2A"/>
    <w:rsid w:val="00087ED3"/>
    <w:rsid w:val="00090C31"/>
    <w:rsid w:val="00090FF3"/>
    <w:rsid w:val="00091714"/>
    <w:rsid w:val="00091855"/>
    <w:rsid w:val="00092038"/>
    <w:rsid w:val="000943A0"/>
    <w:rsid w:val="00094871"/>
    <w:rsid w:val="00094BD7"/>
    <w:rsid w:val="000950A1"/>
    <w:rsid w:val="00095B66"/>
    <w:rsid w:val="00096156"/>
    <w:rsid w:val="000977ED"/>
    <w:rsid w:val="000A00D8"/>
    <w:rsid w:val="000A1EFB"/>
    <w:rsid w:val="000A21E2"/>
    <w:rsid w:val="000A3263"/>
    <w:rsid w:val="000A4A8B"/>
    <w:rsid w:val="000A4AD4"/>
    <w:rsid w:val="000A7186"/>
    <w:rsid w:val="000B0776"/>
    <w:rsid w:val="000B1321"/>
    <w:rsid w:val="000B170F"/>
    <w:rsid w:val="000B1CAC"/>
    <w:rsid w:val="000B285E"/>
    <w:rsid w:val="000B360D"/>
    <w:rsid w:val="000B3B7A"/>
    <w:rsid w:val="000B3E90"/>
    <w:rsid w:val="000B4C42"/>
    <w:rsid w:val="000B562F"/>
    <w:rsid w:val="000B7923"/>
    <w:rsid w:val="000C0912"/>
    <w:rsid w:val="000C09C5"/>
    <w:rsid w:val="000C0D7D"/>
    <w:rsid w:val="000C0F57"/>
    <w:rsid w:val="000C18E9"/>
    <w:rsid w:val="000C1AF4"/>
    <w:rsid w:val="000C2180"/>
    <w:rsid w:val="000C3ED9"/>
    <w:rsid w:val="000C4F82"/>
    <w:rsid w:val="000C4FA2"/>
    <w:rsid w:val="000C6839"/>
    <w:rsid w:val="000C6904"/>
    <w:rsid w:val="000C6FB3"/>
    <w:rsid w:val="000D09D6"/>
    <w:rsid w:val="000D0F58"/>
    <w:rsid w:val="000D1694"/>
    <w:rsid w:val="000D3299"/>
    <w:rsid w:val="000D3A5F"/>
    <w:rsid w:val="000D41D2"/>
    <w:rsid w:val="000D4EDB"/>
    <w:rsid w:val="000D5206"/>
    <w:rsid w:val="000D5938"/>
    <w:rsid w:val="000D5DF8"/>
    <w:rsid w:val="000D5E45"/>
    <w:rsid w:val="000D6F42"/>
    <w:rsid w:val="000D7611"/>
    <w:rsid w:val="000E0B22"/>
    <w:rsid w:val="000E152F"/>
    <w:rsid w:val="000E197F"/>
    <w:rsid w:val="000E285B"/>
    <w:rsid w:val="000E2E19"/>
    <w:rsid w:val="000E3802"/>
    <w:rsid w:val="000E5D0E"/>
    <w:rsid w:val="000F080A"/>
    <w:rsid w:val="000F1265"/>
    <w:rsid w:val="000F16C7"/>
    <w:rsid w:val="000F2510"/>
    <w:rsid w:val="000F3C8F"/>
    <w:rsid w:val="000F3ED0"/>
    <w:rsid w:val="000F46CA"/>
    <w:rsid w:val="000F4AC6"/>
    <w:rsid w:val="000F4F92"/>
    <w:rsid w:val="000F59A0"/>
    <w:rsid w:val="000F5E0E"/>
    <w:rsid w:val="000F7D1B"/>
    <w:rsid w:val="000F7F2F"/>
    <w:rsid w:val="0010013F"/>
    <w:rsid w:val="00100630"/>
    <w:rsid w:val="001010D8"/>
    <w:rsid w:val="0010154D"/>
    <w:rsid w:val="00101AEB"/>
    <w:rsid w:val="00103BFA"/>
    <w:rsid w:val="00104546"/>
    <w:rsid w:val="00105E9C"/>
    <w:rsid w:val="0010694B"/>
    <w:rsid w:val="0011072E"/>
    <w:rsid w:val="00110C97"/>
    <w:rsid w:val="00112213"/>
    <w:rsid w:val="001130C6"/>
    <w:rsid w:val="001133F0"/>
    <w:rsid w:val="001143C1"/>
    <w:rsid w:val="00115145"/>
    <w:rsid w:val="00116B73"/>
    <w:rsid w:val="0011705F"/>
    <w:rsid w:val="0011713B"/>
    <w:rsid w:val="0012015D"/>
    <w:rsid w:val="001204AA"/>
    <w:rsid w:val="001226D1"/>
    <w:rsid w:val="00122762"/>
    <w:rsid w:val="001230B0"/>
    <w:rsid w:val="00123163"/>
    <w:rsid w:val="001232F0"/>
    <w:rsid w:val="001233DA"/>
    <w:rsid w:val="001234D7"/>
    <w:rsid w:val="00124233"/>
    <w:rsid w:val="001248A8"/>
    <w:rsid w:val="00124CEF"/>
    <w:rsid w:val="00125C71"/>
    <w:rsid w:val="00125E06"/>
    <w:rsid w:val="001269FE"/>
    <w:rsid w:val="00127219"/>
    <w:rsid w:val="00127421"/>
    <w:rsid w:val="0013034E"/>
    <w:rsid w:val="00130B6D"/>
    <w:rsid w:val="001331EA"/>
    <w:rsid w:val="001333AB"/>
    <w:rsid w:val="00133E97"/>
    <w:rsid w:val="0013409C"/>
    <w:rsid w:val="00134A26"/>
    <w:rsid w:val="00134B47"/>
    <w:rsid w:val="001358F6"/>
    <w:rsid w:val="001405D1"/>
    <w:rsid w:val="00141A84"/>
    <w:rsid w:val="00143C53"/>
    <w:rsid w:val="00145A24"/>
    <w:rsid w:val="00145C76"/>
    <w:rsid w:val="001464C7"/>
    <w:rsid w:val="00147627"/>
    <w:rsid w:val="00150669"/>
    <w:rsid w:val="001508C7"/>
    <w:rsid w:val="00151586"/>
    <w:rsid w:val="00151BB7"/>
    <w:rsid w:val="001548CC"/>
    <w:rsid w:val="00154B12"/>
    <w:rsid w:val="00155980"/>
    <w:rsid w:val="00155DB3"/>
    <w:rsid w:val="00156593"/>
    <w:rsid w:val="001568C7"/>
    <w:rsid w:val="00157D6F"/>
    <w:rsid w:val="00160F8C"/>
    <w:rsid w:val="001610CE"/>
    <w:rsid w:val="00161220"/>
    <w:rsid w:val="0016138E"/>
    <w:rsid w:val="00161BD8"/>
    <w:rsid w:val="00163247"/>
    <w:rsid w:val="001634AB"/>
    <w:rsid w:val="001644D1"/>
    <w:rsid w:val="00164C31"/>
    <w:rsid w:val="001659CA"/>
    <w:rsid w:val="00166AD3"/>
    <w:rsid w:val="00167921"/>
    <w:rsid w:val="00167942"/>
    <w:rsid w:val="00167988"/>
    <w:rsid w:val="00167CAD"/>
    <w:rsid w:val="001703CB"/>
    <w:rsid w:val="001709A0"/>
    <w:rsid w:val="0017371F"/>
    <w:rsid w:val="001748C0"/>
    <w:rsid w:val="001751EB"/>
    <w:rsid w:val="0017540B"/>
    <w:rsid w:val="001758CB"/>
    <w:rsid w:val="0017722D"/>
    <w:rsid w:val="00177664"/>
    <w:rsid w:val="0017776B"/>
    <w:rsid w:val="001804BD"/>
    <w:rsid w:val="00180BCC"/>
    <w:rsid w:val="00181412"/>
    <w:rsid w:val="00181643"/>
    <w:rsid w:val="001824B1"/>
    <w:rsid w:val="001840E6"/>
    <w:rsid w:val="00184759"/>
    <w:rsid w:val="00185457"/>
    <w:rsid w:val="0018575F"/>
    <w:rsid w:val="00185C96"/>
    <w:rsid w:val="0018617C"/>
    <w:rsid w:val="001861A2"/>
    <w:rsid w:val="00186428"/>
    <w:rsid w:val="001868E8"/>
    <w:rsid w:val="0019186D"/>
    <w:rsid w:val="0019216E"/>
    <w:rsid w:val="00192D78"/>
    <w:rsid w:val="00192EDE"/>
    <w:rsid w:val="00194160"/>
    <w:rsid w:val="00194657"/>
    <w:rsid w:val="00194F12"/>
    <w:rsid w:val="001956D6"/>
    <w:rsid w:val="00196E6A"/>
    <w:rsid w:val="001A1942"/>
    <w:rsid w:val="001A1975"/>
    <w:rsid w:val="001A25D5"/>
    <w:rsid w:val="001A2B37"/>
    <w:rsid w:val="001A4E93"/>
    <w:rsid w:val="001A550A"/>
    <w:rsid w:val="001A61D6"/>
    <w:rsid w:val="001A6753"/>
    <w:rsid w:val="001A68F7"/>
    <w:rsid w:val="001B061F"/>
    <w:rsid w:val="001B0B3F"/>
    <w:rsid w:val="001B23CA"/>
    <w:rsid w:val="001B30C3"/>
    <w:rsid w:val="001B3B48"/>
    <w:rsid w:val="001B3DE8"/>
    <w:rsid w:val="001B4B8B"/>
    <w:rsid w:val="001B5AC8"/>
    <w:rsid w:val="001B5C05"/>
    <w:rsid w:val="001B5CD7"/>
    <w:rsid w:val="001B6485"/>
    <w:rsid w:val="001C03BF"/>
    <w:rsid w:val="001C0EBB"/>
    <w:rsid w:val="001C106F"/>
    <w:rsid w:val="001C108D"/>
    <w:rsid w:val="001C13CA"/>
    <w:rsid w:val="001C151F"/>
    <w:rsid w:val="001C193D"/>
    <w:rsid w:val="001C37ED"/>
    <w:rsid w:val="001C4913"/>
    <w:rsid w:val="001C514E"/>
    <w:rsid w:val="001C5F8A"/>
    <w:rsid w:val="001C66FD"/>
    <w:rsid w:val="001C6CE8"/>
    <w:rsid w:val="001C76B0"/>
    <w:rsid w:val="001C7C4F"/>
    <w:rsid w:val="001D02E5"/>
    <w:rsid w:val="001D0DDD"/>
    <w:rsid w:val="001D0F11"/>
    <w:rsid w:val="001D1613"/>
    <w:rsid w:val="001D2AAF"/>
    <w:rsid w:val="001D320E"/>
    <w:rsid w:val="001D43A6"/>
    <w:rsid w:val="001D4833"/>
    <w:rsid w:val="001D679A"/>
    <w:rsid w:val="001E0B7B"/>
    <w:rsid w:val="001E0DB3"/>
    <w:rsid w:val="001E14B1"/>
    <w:rsid w:val="001E1E87"/>
    <w:rsid w:val="001E2020"/>
    <w:rsid w:val="001E2BA9"/>
    <w:rsid w:val="001E6FB1"/>
    <w:rsid w:val="001E7102"/>
    <w:rsid w:val="001F0849"/>
    <w:rsid w:val="001F12C6"/>
    <w:rsid w:val="001F131F"/>
    <w:rsid w:val="001F2589"/>
    <w:rsid w:val="001F2873"/>
    <w:rsid w:val="001F2901"/>
    <w:rsid w:val="001F3C8A"/>
    <w:rsid w:val="001F63F3"/>
    <w:rsid w:val="001F7D76"/>
    <w:rsid w:val="002006F9"/>
    <w:rsid w:val="002008BE"/>
    <w:rsid w:val="00202913"/>
    <w:rsid w:val="00202AAE"/>
    <w:rsid w:val="00202B4C"/>
    <w:rsid w:val="00202FB9"/>
    <w:rsid w:val="00204535"/>
    <w:rsid w:val="00204FDD"/>
    <w:rsid w:val="00205309"/>
    <w:rsid w:val="00205EF3"/>
    <w:rsid w:val="00207355"/>
    <w:rsid w:val="00215099"/>
    <w:rsid w:val="00215101"/>
    <w:rsid w:val="00215BC4"/>
    <w:rsid w:val="00216252"/>
    <w:rsid w:val="00216C5B"/>
    <w:rsid w:val="002204CC"/>
    <w:rsid w:val="00220521"/>
    <w:rsid w:val="002208B1"/>
    <w:rsid w:val="002221A3"/>
    <w:rsid w:val="00222957"/>
    <w:rsid w:val="00224316"/>
    <w:rsid w:val="002245CF"/>
    <w:rsid w:val="00224B43"/>
    <w:rsid w:val="00224E40"/>
    <w:rsid w:val="0022597C"/>
    <w:rsid w:val="00226B51"/>
    <w:rsid w:val="00226F2F"/>
    <w:rsid w:val="00227152"/>
    <w:rsid w:val="002273BD"/>
    <w:rsid w:val="00227462"/>
    <w:rsid w:val="002302CC"/>
    <w:rsid w:val="002304A7"/>
    <w:rsid w:val="0023076D"/>
    <w:rsid w:val="00231D99"/>
    <w:rsid w:val="00234FF5"/>
    <w:rsid w:val="00235663"/>
    <w:rsid w:val="00235AD3"/>
    <w:rsid w:val="00236B47"/>
    <w:rsid w:val="00237A42"/>
    <w:rsid w:val="002402B8"/>
    <w:rsid w:val="00240529"/>
    <w:rsid w:val="0024061C"/>
    <w:rsid w:val="00240D3B"/>
    <w:rsid w:val="00241862"/>
    <w:rsid w:val="00241BF5"/>
    <w:rsid w:val="00241F31"/>
    <w:rsid w:val="00242DE2"/>
    <w:rsid w:val="00243C29"/>
    <w:rsid w:val="00243D93"/>
    <w:rsid w:val="00244C83"/>
    <w:rsid w:val="00245DE5"/>
    <w:rsid w:val="002463C4"/>
    <w:rsid w:val="00246539"/>
    <w:rsid w:val="00250C2A"/>
    <w:rsid w:val="00252447"/>
    <w:rsid w:val="00252A1D"/>
    <w:rsid w:val="00252B40"/>
    <w:rsid w:val="00253301"/>
    <w:rsid w:val="00257F1C"/>
    <w:rsid w:val="00257F86"/>
    <w:rsid w:val="00260402"/>
    <w:rsid w:val="00262632"/>
    <w:rsid w:val="00262941"/>
    <w:rsid w:val="00262A3F"/>
    <w:rsid w:val="0026377B"/>
    <w:rsid w:val="00263FD0"/>
    <w:rsid w:val="002640FF"/>
    <w:rsid w:val="002646C4"/>
    <w:rsid w:val="00265627"/>
    <w:rsid w:val="00265DC2"/>
    <w:rsid w:val="0026730B"/>
    <w:rsid w:val="00267756"/>
    <w:rsid w:val="002709F1"/>
    <w:rsid w:val="00271EAB"/>
    <w:rsid w:val="0027273D"/>
    <w:rsid w:val="00273C00"/>
    <w:rsid w:val="00273DE1"/>
    <w:rsid w:val="0027437C"/>
    <w:rsid w:val="00274947"/>
    <w:rsid w:val="0027498A"/>
    <w:rsid w:val="00274E27"/>
    <w:rsid w:val="00274FB8"/>
    <w:rsid w:val="00275BC6"/>
    <w:rsid w:val="00275E68"/>
    <w:rsid w:val="00277F97"/>
    <w:rsid w:val="00280E53"/>
    <w:rsid w:val="00282305"/>
    <w:rsid w:val="00282D2F"/>
    <w:rsid w:val="002839EC"/>
    <w:rsid w:val="00283E46"/>
    <w:rsid w:val="00283FC4"/>
    <w:rsid w:val="00284FA9"/>
    <w:rsid w:val="00285B4F"/>
    <w:rsid w:val="00285FC0"/>
    <w:rsid w:val="00286600"/>
    <w:rsid w:val="00287160"/>
    <w:rsid w:val="002877F2"/>
    <w:rsid w:val="002879E0"/>
    <w:rsid w:val="00290728"/>
    <w:rsid w:val="0029176D"/>
    <w:rsid w:val="00291AFC"/>
    <w:rsid w:val="002921AA"/>
    <w:rsid w:val="002937A9"/>
    <w:rsid w:val="002941FF"/>
    <w:rsid w:val="00294C11"/>
    <w:rsid w:val="00295A39"/>
    <w:rsid w:val="002961AE"/>
    <w:rsid w:val="002961C8"/>
    <w:rsid w:val="002968B9"/>
    <w:rsid w:val="002A1562"/>
    <w:rsid w:val="002A1C04"/>
    <w:rsid w:val="002A25E1"/>
    <w:rsid w:val="002A2A00"/>
    <w:rsid w:val="002A3163"/>
    <w:rsid w:val="002A34BD"/>
    <w:rsid w:val="002A38B4"/>
    <w:rsid w:val="002A4410"/>
    <w:rsid w:val="002A4862"/>
    <w:rsid w:val="002A4C03"/>
    <w:rsid w:val="002A5A9C"/>
    <w:rsid w:val="002A6BFA"/>
    <w:rsid w:val="002A6FF5"/>
    <w:rsid w:val="002A7642"/>
    <w:rsid w:val="002B01EF"/>
    <w:rsid w:val="002B0616"/>
    <w:rsid w:val="002B06B8"/>
    <w:rsid w:val="002B1013"/>
    <w:rsid w:val="002B240C"/>
    <w:rsid w:val="002B308A"/>
    <w:rsid w:val="002B3737"/>
    <w:rsid w:val="002B3E10"/>
    <w:rsid w:val="002B49AC"/>
    <w:rsid w:val="002B512D"/>
    <w:rsid w:val="002B55FD"/>
    <w:rsid w:val="002B5E51"/>
    <w:rsid w:val="002B64F8"/>
    <w:rsid w:val="002B6A07"/>
    <w:rsid w:val="002B72DC"/>
    <w:rsid w:val="002B7519"/>
    <w:rsid w:val="002C0900"/>
    <w:rsid w:val="002C4F1A"/>
    <w:rsid w:val="002C50E9"/>
    <w:rsid w:val="002C519F"/>
    <w:rsid w:val="002C6539"/>
    <w:rsid w:val="002C7ABE"/>
    <w:rsid w:val="002C7C04"/>
    <w:rsid w:val="002C7C74"/>
    <w:rsid w:val="002D072F"/>
    <w:rsid w:val="002D0746"/>
    <w:rsid w:val="002D12EE"/>
    <w:rsid w:val="002D246A"/>
    <w:rsid w:val="002D36E3"/>
    <w:rsid w:val="002D37B9"/>
    <w:rsid w:val="002D439E"/>
    <w:rsid w:val="002D4EF8"/>
    <w:rsid w:val="002D58B8"/>
    <w:rsid w:val="002D6219"/>
    <w:rsid w:val="002D6AF8"/>
    <w:rsid w:val="002D72C9"/>
    <w:rsid w:val="002D72F7"/>
    <w:rsid w:val="002E066C"/>
    <w:rsid w:val="002E0D5D"/>
    <w:rsid w:val="002E1111"/>
    <w:rsid w:val="002E216D"/>
    <w:rsid w:val="002E2B13"/>
    <w:rsid w:val="002E3FC2"/>
    <w:rsid w:val="002E4C46"/>
    <w:rsid w:val="002E6E69"/>
    <w:rsid w:val="002E7B1A"/>
    <w:rsid w:val="002E7B84"/>
    <w:rsid w:val="002F1958"/>
    <w:rsid w:val="002F1DFC"/>
    <w:rsid w:val="002F4208"/>
    <w:rsid w:val="002F4EC6"/>
    <w:rsid w:val="002F4FDF"/>
    <w:rsid w:val="002F5375"/>
    <w:rsid w:val="002F7D95"/>
    <w:rsid w:val="00301323"/>
    <w:rsid w:val="003026C0"/>
    <w:rsid w:val="00302A47"/>
    <w:rsid w:val="003036DC"/>
    <w:rsid w:val="003038F7"/>
    <w:rsid w:val="0030564E"/>
    <w:rsid w:val="0030598A"/>
    <w:rsid w:val="00306436"/>
    <w:rsid w:val="00306F3E"/>
    <w:rsid w:val="00306F51"/>
    <w:rsid w:val="00307102"/>
    <w:rsid w:val="00310BE6"/>
    <w:rsid w:val="003111A7"/>
    <w:rsid w:val="003115C3"/>
    <w:rsid w:val="003127E0"/>
    <w:rsid w:val="00312A31"/>
    <w:rsid w:val="0031386B"/>
    <w:rsid w:val="00313CCA"/>
    <w:rsid w:val="00313FFD"/>
    <w:rsid w:val="00314502"/>
    <w:rsid w:val="00316FCC"/>
    <w:rsid w:val="00317092"/>
    <w:rsid w:val="003203E2"/>
    <w:rsid w:val="0032073D"/>
    <w:rsid w:val="003215ED"/>
    <w:rsid w:val="00321954"/>
    <w:rsid w:val="00322873"/>
    <w:rsid w:val="003237D1"/>
    <w:rsid w:val="00323F3D"/>
    <w:rsid w:val="003245B6"/>
    <w:rsid w:val="0032488E"/>
    <w:rsid w:val="00327122"/>
    <w:rsid w:val="0032724D"/>
    <w:rsid w:val="0033016E"/>
    <w:rsid w:val="003305B6"/>
    <w:rsid w:val="00332959"/>
    <w:rsid w:val="00333EAD"/>
    <w:rsid w:val="0033473F"/>
    <w:rsid w:val="00335291"/>
    <w:rsid w:val="00335DB9"/>
    <w:rsid w:val="00340791"/>
    <w:rsid w:val="003407ED"/>
    <w:rsid w:val="00340909"/>
    <w:rsid w:val="00340BC4"/>
    <w:rsid w:val="00341BCD"/>
    <w:rsid w:val="003421C0"/>
    <w:rsid w:val="00342B34"/>
    <w:rsid w:val="003431BA"/>
    <w:rsid w:val="00343AEC"/>
    <w:rsid w:val="003453EA"/>
    <w:rsid w:val="0034700E"/>
    <w:rsid w:val="00351320"/>
    <w:rsid w:val="00353924"/>
    <w:rsid w:val="00354085"/>
    <w:rsid w:val="00355924"/>
    <w:rsid w:val="00356265"/>
    <w:rsid w:val="00357716"/>
    <w:rsid w:val="00357F70"/>
    <w:rsid w:val="00361208"/>
    <w:rsid w:val="003613D4"/>
    <w:rsid w:val="00362FED"/>
    <w:rsid w:val="0036459C"/>
    <w:rsid w:val="00364603"/>
    <w:rsid w:val="00366955"/>
    <w:rsid w:val="003679C4"/>
    <w:rsid w:val="00367AA3"/>
    <w:rsid w:val="00370A05"/>
    <w:rsid w:val="00371FB2"/>
    <w:rsid w:val="003727DB"/>
    <w:rsid w:val="00374CAF"/>
    <w:rsid w:val="00374F96"/>
    <w:rsid w:val="0037655A"/>
    <w:rsid w:val="00376923"/>
    <w:rsid w:val="003770BE"/>
    <w:rsid w:val="003771A9"/>
    <w:rsid w:val="00377967"/>
    <w:rsid w:val="003805F9"/>
    <w:rsid w:val="003807C6"/>
    <w:rsid w:val="00381761"/>
    <w:rsid w:val="00381E85"/>
    <w:rsid w:val="003834FD"/>
    <w:rsid w:val="00383B58"/>
    <w:rsid w:val="00383F8D"/>
    <w:rsid w:val="003844EA"/>
    <w:rsid w:val="0038514A"/>
    <w:rsid w:val="00385746"/>
    <w:rsid w:val="00386F4F"/>
    <w:rsid w:val="003900B7"/>
    <w:rsid w:val="0039150A"/>
    <w:rsid w:val="00392504"/>
    <w:rsid w:val="00392D35"/>
    <w:rsid w:val="003937A3"/>
    <w:rsid w:val="00393E0D"/>
    <w:rsid w:val="00394ADF"/>
    <w:rsid w:val="00394DF0"/>
    <w:rsid w:val="0039776E"/>
    <w:rsid w:val="003A0D40"/>
    <w:rsid w:val="003A25BF"/>
    <w:rsid w:val="003A299C"/>
    <w:rsid w:val="003A3DC6"/>
    <w:rsid w:val="003A4805"/>
    <w:rsid w:val="003A56FC"/>
    <w:rsid w:val="003A6A5A"/>
    <w:rsid w:val="003A6C00"/>
    <w:rsid w:val="003A6C46"/>
    <w:rsid w:val="003B05DE"/>
    <w:rsid w:val="003B10A9"/>
    <w:rsid w:val="003B18E9"/>
    <w:rsid w:val="003B212E"/>
    <w:rsid w:val="003B310D"/>
    <w:rsid w:val="003B4C53"/>
    <w:rsid w:val="003B4C88"/>
    <w:rsid w:val="003B4CFA"/>
    <w:rsid w:val="003B57B4"/>
    <w:rsid w:val="003B6230"/>
    <w:rsid w:val="003B6355"/>
    <w:rsid w:val="003B6A4F"/>
    <w:rsid w:val="003B71F9"/>
    <w:rsid w:val="003B7279"/>
    <w:rsid w:val="003C040D"/>
    <w:rsid w:val="003C11C4"/>
    <w:rsid w:val="003C1FE0"/>
    <w:rsid w:val="003C249B"/>
    <w:rsid w:val="003C29BE"/>
    <w:rsid w:val="003C313A"/>
    <w:rsid w:val="003C3E7D"/>
    <w:rsid w:val="003C608F"/>
    <w:rsid w:val="003C7328"/>
    <w:rsid w:val="003D05D6"/>
    <w:rsid w:val="003D06CB"/>
    <w:rsid w:val="003D14B6"/>
    <w:rsid w:val="003D48F9"/>
    <w:rsid w:val="003D4EA6"/>
    <w:rsid w:val="003D5596"/>
    <w:rsid w:val="003D6B5F"/>
    <w:rsid w:val="003D757C"/>
    <w:rsid w:val="003D7981"/>
    <w:rsid w:val="003D79A5"/>
    <w:rsid w:val="003E06AC"/>
    <w:rsid w:val="003E1315"/>
    <w:rsid w:val="003E14D4"/>
    <w:rsid w:val="003E1C40"/>
    <w:rsid w:val="003E2EE2"/>
    <w:rsid w:val="003E3DBF"/>
    <w:rsid w:val="003E58B6"/>
    <w:rsid w:val="003E5F9E"/>
    <w:rsid w:val="003E6090"/>
    <w:rsid w:val="003E6AAE"/>
    <w:rsid w:val="003F0AA7"/>
    <w:rsid w:val="003F7A15"/>
    <w:rsid w:val="003F7BF5"/>
    <w:rsid w:val="004003ED"/>
    <w:rsid w:val="0040087E"/>
    <w:rsid w:val="0040234A"/>
    <w:rsid w:val="00404995"/>
    <w:rsid w:val="00405BD4"/>
    <w:rsid w:val="00405D24"/>
    <w:rsid w:val="00407726"/>
    <w:rsid w:val="004079CD"/>
    <w:rsid w:val="0041077E"/>
    <w:rsid w:val="00410896"/>
    <w:rsid w:val="00411D68"/>
    <w:rsid w:val="00412BCB"/>
    <w:rsid w:val="00414007"/>
    <w:rsid w:val="00414269"/>
    <w:rsid w:val="0041543A"/>
    <w:rsid w:val="00416EC0"/>
    <w:rsid w:val="004174B8"/>
    <w:rsid w:val="00417770"/>
    <w:rsid w:val="004178DA"/>
    <w:rsid w:val="00420946"/>
    <w:rsid w:val="0042111C"/>
    <w:rsid w:val="00424510"/>
    <w:rsid w:val="0042537C"/>
    <w:rsid w:val="004253C2"/>
    <w:rsid w:val="00425CB4"/>
    <w:rsid w:val="00425E2F"/>
    <w:rsid w:val="00426AA9"/>
    <w:rsid w:val="00426CE7"/>
    <w:rsid w:val="00427672"/>
    <w:rsid w:val="0043129D"/>
    <w:rsid w:val="004313FA"/>
    <w:rsid w:val="00433179"/>
    <w:rsid w:val="0043404E"/>
    <w:rsid w:val="004343F5"/>
    <w:rsid w:val="0043522F"/>
    <w:rsid w:val="00435290"/>
    <w:rsid w:val="004363D9"/>
    <w:rsid w:val="00436A82"/>
    <w:rsid w:val="00436DD0"/>
    <w:rsid w:val="00437034"/>
    <w:rsid w:val="00437951"/>
    <w:rsid w:val="00440FF9"/>
    <w:rsid w:val="004415C5"/>
    <w:rsid w:val="004426A4"/>
    <w:rsid w:val="004427B1"/>
    <w:rsid w:val="00442918"/>
    <w:rsid w:val="00443283"/>
    <w:rsid w:val="004435CF"/>
    <w:rsid w:val="00443741"/>
    <w:rsid w:val="0044383D"/>
    <w:rsid w:val="00443BFC"/>
    <w:rsid w:val="0044445E"/>
    <w:rsid w:val="00445459"/>
    <w:rsid w:val="00445FED"/>
    <w:rsid w:val="00446049"/>
    <w:rsid w:val="00446FD6"/>
    <w:rsid w:val="004508E0"/>
    <w:rsid w:val="00452C26"/>
    <w:rsid w:val="004531FB"/>
    <w:rsid w:val="00453E6D"/>
    <w:rsid w:val="00453E90"/>
    <w:rsid w:val="00454E3B"/>
    <w:rsid w:val="00455602"/>
    <w:rsid w:val="00460F35"/>
    <w:rsid w:val="004611C2"/>
    <w:rsid w:val="00461756"/>
    <w:rsid w:val="00461922"/>
    <w:rsid w:val="0046237E"/>
    <w:rsid w:val="00462797"/>
    <w:rsid w:val="004627DF"/>
    <w:rsid w:val="00464DFC"/>
    <w:rsid w:val="00464E43"/>
    <w:rsid w:val="00465802"/>
    <w:rsid w:val="0046669B"/>
    <w:rsid w:val="004675DE"/>
    <w:rsid w:val="004720B3"/>
    <w:rsid w:val="00473EC5"/>
    <w:rsid w:val="00474F23"/>
    <w:rsid w:val="00475940"/>
    <w:rsid w:val="00476150"/>
    <w:rsid w:val="0047637E"/>
    <w:rsid w:val="004768F4"/>
    <w:rsid w:val="00477CF9"/>
    <w:rsid w:val="0048037B"/>
    <w:rsid w:val="0048080A"/>
    <w:rsid w:val="00480C5A"/>
    <w:rsid w:val="00480D70"/>
    <w:rsid w:val="00481536"/>
    <w:rsid w:val="004818E3"/>
    <w:rsid w:val="00482D01"/>
    <w:rsid w:val="00484447"/>
    <w:rsid w:val="00485546"/>
    <w:rsid w:val="00486BFE"/>
    <w:rsid w:val="00486F0E"/>
    <w:rsid w:val="00487786"/>
    <w:rsid w:val="004879AA"/>
    <w:rsid w:val="00487AFE"/>
    <w:rsid w:val="00487FDC"/>
    <w:rsid w:val="0049177E"/>
    <w:rsid w:val="00491E72"/>
    <w:rsid w:val="00492B75"/>
    <w:rsid w:val="004948CA"/>
    <w:rsid w:val="00494A70"/>
    <w:rsid w:val="00495B28"/>
    <w:rsid w:val="00496106"/>
    <w:rsid w:val="004964F1"/>
    <w:rsid w:val="004970D7"/>
    <w:rsid w:val="0049744A"/>
    <w:rsid w:val="00497EA7"/>
    <w:rsid w:val="004A128B"/>
    <w:rsid w:val="004A2D59"/>
    <w:rsid w:val="004A3C2F"/>
    <w:rsid w:val="004A5113"/>
    <w:rsid w:val="004A5793"/>
    <w:rsid w:val="004A6751"/>
    <w:rsid w:val="004A6C84"/>
    <w:rsid w:val="004A79D3"/>
    <w:rsid w:val="004A7AC1"/>
    <w:rsid w:val="004B0EAB"/>
    <w:rsid w:val="004B1D04"/>
    <w:rsid w:val="004B382D"/>
    <w:rsid w:val="004B38A8"/>
    <w:rsid w:val="004B3BBE"/>
    <w:rsid w:val="004B4387"/>
    <w:rsid w:val="004B5FDA"/>
    <w:rsid w:val="004B6378"/>
    <w:rsid w:val="004B6C26"/>
    <w:rsid w:val="004C0119"/>
    <w:rsid w:val="004C0531"/>
    <w:rsid w:val="004C060B"/>
    <w:rsid w:val="004C0853"/>
    <w:rsid w:val="004C1191"/>
    <w:rsid w:val="004C12FF"/>
    <w:rsid w:val="004C3BCF"/>
    <w:rsid w:val="004C3C7F"/>
    <w:rsid w:val="004C46BE"/>
    <w:rsid w:val="004C4F67"/>
    <w:rsid w:val="004C5E57"/>
    <w:rsid w:val="004C6939"/>
    <w:rsid w:val="004C69F8"/>
    <w:rsid w:val="004D27C7"/>
    <w:rsid w:val="004D330C"/>
    <w:rsid w:val="004D434C"/>
    <w:rsid w:val="004D47AE"/>
    <w:rsid w:val="004D582F"/>
    <w:rsid w:val="004D590D"/>
    <w:rsid w:val="004D5AAE"/>
    <w:rsid w:val="004D60C4"/>
    <w:rsid w:val="004D62B2"/>
    <w:rsid w:val="004D77D5"/>
    <w:rsid w:val="004E0198"/>
    <w:rsid w:val="004E0215"/>
    <w:rsid w:val="004E068B"/>
    <w:rsid w:val="004E0A37"/>
    <w:rsid w:val="004E24F9"/>
    <w:rsid w:val="004E255D"/>
    <w:rsid w:val="004E2785"/>
    <w:rsid w:val="004E2EBE"/>
    <w:rsid w:val="004E3F66"/>
    <w:rsid w:val="004E40E1"/>
    <w:rsid w:val="004E5913"/>
    <w:rsid w:val="004E598A"/>
    <w:rsid w:val="004E5E0F"/>
    <w:rsid w:val="004E69DD"/>
    <w:rsid w:val="004E6EE7"/>
    <w:rsid w:val="004E746E"/>
    <w:rsid w:val="004E7C9F"/>
    <w:rsid w:val="004F027A"/>
    <w:rsid w:val="004F02E3"/>
    <w:rsid w:val="004F17EC"/>
    <w:rsid w:val="004F2DD9"/>
    <w:rsid w:val="004F35DB"/>
    <w:rsid w:val="004F525D"/>
    <w:rsid w:val="004F5CF4"/>
    <w:rsid w:val="004F63DD"/>
    <w:rsid w:val="004F7A59"/>
    <w:rsid w:val="004F7D42"/>
    <w:rsid w:val="00500632"/>
    <w:rsid w:val="00501189"/>
    <w:rsid w:val="00501345"/>
    <w:rsid w:val="005024F9"/>
    <w:rsid w:val="00503428"/>
    <w:rsid w:val="005036E3"/>
    <w:rsid w:val="00505B53"/>
    <w:rsid w:val="00506015"/>
    <w:rsid w:val="005067C5"/>
    <w:rsid w:val="00514AB8"/>
    <w:rsid w:val="00517143"/>
    <w:rsid w:val="00520BA3"/>
    <w:rsid w:val="00520EB7"/>
    <w:rsid w:val="00523C12"/>
    <w:rsid w:val="005244C0"/>
    <w:rsid w:val="00525051"/>
    <w:rsid w:val="00525AA4"/>
    <w:rsid w:val="00525F9C"/>
    <w:rsid w:val="00527327"/>
    <w:rsid w:val="005311F7"/>
    <w:rsid w:val="00532D49"/>
    <w:rsid w:val="00532FFF"/>
    <w:rsid w:val="00533714"/>
    <w:rsid w:val="00533EE8"/>
    <w:rsid w:val="005345F9"/>
    <w:rsid w:val="00534F93"/>
    <w:rsid w:val="00535083"/>
    <w:rsid w:val="0053548F"/>
    <w:rsid w:val="00535D7B"/>
    <w:rsid w:val="00536E23"/>
    <w:rsid w:val="005372E0"/>
    <w:rsid w:val="00537ABD"/>
    <w:rsid w:val="00540C73"/>
    <w:rsid w:val="00541131"/>
    <w:rsid w:val="00541202"/>
    <w:rsid w:val="005415DC"/>
    <w:rsid w:val="0054197D"/>
    <w:rsid w:val="00541A93"/>
    <w:rsid w:val="00542FC7"/>
    <w:rsid w:val="0054317C"/>
    <w:rsid w:val="005431B5"/>
    <w:rsid w:val="0054424D"/>
    <w:rsid w:val="00544BE7"/>
    <w:rsid w:val="00545BEA"/>
    <w:rsid w:val="00546196"/>
    <w:rsid w:val="00551657"/>
    <w:rsid w:val="005518ED"/>
    <w:rsid w:val="00551AA7"/>
    <w:rsid w:val="00551CE4"/>
    <w:rsid w:val="00551EC0"/>
    <w:rsid w:val="00552C49"/>
    <w:rsid w:val="00552F69"/>
    <w:rsid w:val="005535F9"/>
    <w:rsid w:val="005539D6"/>
    <w:rsid w:val="0055655F"/>
    <w:rsid w:val="005579E7"/>
    <w:rsid w:val="00557CB0"/>
    <w:rsid w:val="00557EEC"/>
    <w:rsid w:val="0056056D"/>
    <w:rsid w:val="005607D3"/>
    <w:rsid w:val="00560BA0"/>
    <w:rsid w:val="00560BC8"/>
    <w:rsid w:val="00561EC1"/>
    <w:rsid w:val="00562589"/>
    <w:rsid w:val="00563013"/>
    <w:rsid w:val="00563FCF"/>
    <w:rsid w:val="005641F3"/>
    <w:rsid w:val="00564945"/>
    <w:rsid w:val="00566F5D"/>
    <w:rsid w:val="005703BA"/>
    <w:rsid w:val="00570D5D"/>
    <w:rsid w:val="00571467"/>
    <w:rsid w:val="005717C9"/>
    <w:rsid w:val="00571DC3"/>
    <w:rsid w:val="0057292A"/>
    <w:rsid w:val="00573AC0"/>
    <w:rsid w:val="005749F3"/>
    <w:rsid w:val="00575B15"/>
    <w:rsid w:val="00577DB7"/>
    <w:rsid w:val="005810A5"/>
    <w:rsid w:val="00581341"/>
    <w:rsid w:val="00581813"/>
    <w:rsid w:val="00582E26"/>
    <w:rsid w:val="00583C7B"/>
    <w:rsid w:val="00584642"/>
    <w:rsid w:val="0058510B"/>
    <w:rsid w:val="0058594E"/>
    <w:rsid w:val="00585ACC"/>
    <w:rsid w:val="00586BF2"/>
    <w:rsid w:val="005871FB"/>
    <w:rsid w:val="00590CEE"/>
    <w:rsid w:val="0059146E"/>
    <w:rsid w:val="00591D2A"/>
    <w:rsid w:val="00592748"/>
    <w:rsid w:val="00592BEF"/>
    <w:rsid w:val="0059364D"/>
    <w:rsid w:val="0059514B"/>
    <w:rsid w:val="00595EAA"/>
    <w:rsid w:val="005970E5"/>
    <w:rsid w:val="005A08E1"/>
    <w:rsid w:val="005A107F"/>
    <w:rsid w:val="005A1400"/>
    <w:rsid w:val="005A285A"/>
    <w:rsid w:val="005A40EF"/>
    <w:rsid w:val="005A44D0"/>
    <w:rsid w:val="005A46D6"/>
    <w:rsid w:val="005A5515"/>
    <w:rsid w:val="005A6A5D"/>
    <w:rsid w:val="005A70A4"/>
    <w:rsid w:val="005A7464"/>
    <w:rsid w:val="005A75ED"/>
    <w:rsid w:val="005B09D1"/>
    <w:rsid w:val="005B19A6"/>
    <w:rsid w:val="005B3396"/>
    <w:rsid w:val="005B38CD"/>
    <w:rsid w:val="005B48AF"/>
    <w:rsid w:val="005B5F79"/>
    <w:rsid w:val="005C0F3A"/>
    <w:rsid w:val="005C1649"/>
    <w:rsid w:val="005C1879"/>
    <w:rsid w:val="005C2E4B"/>
    <w:rsid w:val="005C3A35"/>
    <w:rsid w:val="005C5784"/>
    <w:rsid w:val="005C6507"/>
    <w:rsid w:val="005C6CBA"/>
    <w:rsid w:val="005C7708"/>
    <w:rsid w:val="005C7D65"/>
    <w:rsid w:val="005D0161"/>
    <w:rsid w:val="005D01EC"/>
    <w:rsid w:val="005D0B61"/>
    <w:rsid w:val="005D25F3"/>
    <w:rsid w:val="005D282E"/>
    <w:rsid w:val="005D2F25"/>
    <w:rsid w:val="005D4988"/>
    <w:rsid w:val="005D4D42"/>
    <w:rsid w:val="005D5361"/>
    <w:rsid w:val="005D61A5"/>
    <w:rsid w:val="005D645B"/>
    <w:rsid w:val="005D7121"/>
    <w:rsid w:val="005D72F8"/>
    <w:rsid w:val="005E087A"/>
    <w:rsid w:val="005E1630"/>
    <w:rsid w:val="005E1A2A"/>
    <w:rsid w:val="005E279A"/>
    <w:rsid w:val="005E3F30"/>
    <w:rsid w:val="005E4172"/>
    <w:rsid w:val="005E452D"/>
    <w:rsid w:val="005E4F2A"/>
    <w:rsid w:val="005E5B3E"/>
    <w:rsid w:val="005E604F"/>
    <w:rsid w:val="005E6BBF"/>
    <w:rsid w:val="005E7005"/>
    <w:rsid w:val="005E7CDE"/>
    <w:rsid w:val="005F01D6"/>
    <w:rsid w:val="005F1A27"/>
    <w:rsid w:val="005F1A2C"/>
    <w:rsid w:val="005F3B66"/>
    <w:rsid w:val="005F3F80"/>
    <w:rsid w:val="005F44B1"/>
    <w:rsid w:val="005F75B8"/>
    <w:rsid w:val="00600767"/>
    <w:rsid w:val="00600ED4"/>
    <w:rsid w:val="00601A2E"/>
    <w:rsid w:val="006027D6"/>
    <w:rsid w:val="00602910"/>
    <w:rsid w:val="00603365"/>
    <w:rsid w:val="006041D1"/>
    <w:rsid w:val="00604488"/>
    <w:rsid w:val="00605681"/>
    <w:rsid w:val="00605DBE"/>
    <w:rsid w:val="006064BD"/>
    <w:rsid w:val="00606F43"/>
    <w:rsid w:val="00607123"/>
    <w:rsid w:val="00607B8F"/>
    <w:rsid w:val="00607DDB"/>
    <w:rsid w:val="00607DEE"/>
    <w:rsid w:val="00607EBE"/>
    <w:rsid w:val="006102D2"/>
    <w:rsid w:val="00610A1E"/>
    <w:rsid w:val="00611035"/>
    <w:rsid w:val="00611A40"/>
    <w:rsid w:val="00612369"/>
    <w:rsid w:val="006146ED"/>
    <w:rsid w:val="00614A71"/>
    <w:rsid w:val="00615A77"/>
    <w:rsid w:val="00615EA9"/>
    <w:rsid w:val="006165B0"/>
    <w:rsid w:val="00616626"/>
    <w:rsid w:val="00616AF4"/>
    <w:rsid w:val="00617E94"/>
    <w:rsid w:val="0062026A"/>
    <w:rsid w:val="006211AC"/>
    <w:rsid w:val="0062158A"/>
    <w:rsid w:val="00622F81"/>
    <w:rsid w:val="00623220"/>
    <w:rsid w:val="006232EA"/>
    <w:rsid w:val="006234A2"/>
    <w:rsid w:val="00623898"/>
    <w:rsid w:val="00623A5D"/>
    <w:rsid w:val="00624F7A"/>
    <w:rsid w:val="00626601"/>
    <w:rsid w:val="0062728A"/>
    <w:rsid w:val="00627CB8"/>
    <w:rsid w:val="00630556"/>
    <w:rsid w:val="006305EE"/>
    <w:rsid w:val="0063382F"/>
    <w:rsid w:val="0063709E"/>
    <w:rsid w:val="006370CC"/>
    <w:rsid w:val="006374FD"/>
    <w:rsid w:val="00637B8D"/>
    <w:rsid w:val="0064106C"/>
    <w:rsid w:val="00641DEC"/>
    <w:rsid w:val="006434DF"/>
    <w:rsid w:val="006443AC"/>
    <w:rsid w:val="0064447D"/>
    <w:rsid w:val="0064592A"/>
    <w:rsid w:val="00645C53"/>
    <w:rsid w:val="00646C5F"/>
    <w:rsid w:val="00647458"/>
    <w:rsid w:val="00647595"/>
    <w:rsid w:val="00647CF0"/>
    <w:rsid w:val="00651899"/>
    <w:rsid w:val="00652132"/>
    <w:rsid w:val="00653395"/>
    <w:rsid w:val="006543C1"/>
    <w:rsid w:val="006546E7"/>
    <w:rsid w:val="0065512F"/>
    <w:rsid w:val="006558A4"/>
    <w:rsid w:val="00656A64"/>
    <w:rsid w:val="00656D56"/>
    <w:rsid w:val="006603BE"/>
    <w:rsid w:val="006619B1"/>
    <w:rsid w:val="0066245F"/>
    <w:rsid w:val="0066274B"/>
    <w:rsid w:val="00663E4E"/>
    <w:rsid w:val="00664795"/>
    <w:rsid w:val="006650A9"/>
    <w:rsid w:val="00667737"/>
    <w:rsid w:val="00670059"/>
    <w:rsid w:val="0067035C"/>
    <w:rsid w:val="00670B13"/>
    <w:rsid w:val="006710D7"/>
    <w:rsid w:val="0067382C"/>
    <w:rsid w:val="00674860"/>
    <w:rsid w:val="00674D8E"/>
    <w:rsid w:val="00676AD3"/>
    <w:rsid w:val="00680060"/>
    <w:rsid w:val="00681C08"/>
    <w:rsid w:val="00685E07"/>
    <w:rsid w:val="00685F2C"/>
    <w:rsid w:val="0068627E"/>
    <w:rsid w:val="00687404"/>
    <w:rsid w:val="00687ACD"/>
    <w:rsid w:val="0069050F"/>
    <w:rsid w:val="006907E0"/>
    <w:rsid w:val="00690BB6"/>
    <w:rsid w:val="00692365"/>
    <w:rsid w:val="00693577"/>
    <w:rsid w:val="00693856"/>
    <w:rsid w:val="006939BF"/>
    <w:rsid w:val="00694D31"/>
    <w:rsid w:val="00695F01"/>
    <w:rsid w:val="006963F3"/>
    <w:rsid w:val="006965F2"/>
    <w:rsid w:val="00696B32"/>
    <w:rsid w:val="006972EF"/>
    <w:rsid w:val="00697675"/>
    <w:rsid w:val="006A05C9"/>
    <w:rsid w:val="006A0AB9"/>
    <w:rsid w:val="006A12D9"/>
    <w:rsid w:val="006A4334"/>
    <w:rsid w:val="006A44A4"/>
    <w:rsid w:val="006A553D"/>
    <w:rsid w:val="006A57D1"/>
    <w:rsid w:val="006A618B"/>
    <w:rsid w:val="006B181E"/>
    <w:rsid w:val="006B2BCC"/>
    <w:rsid w:val="006B365A"/>
    <w:rsid w:val="006B3B35"/>
    <w:rsid w:val="006B3DBE"/>
    <w:rsid w:val="006B3F82"/>
    <w:rsid w:val="006B3FFC"/>
    <w:rsid w:val="006B4345"/>
    <w:rsid w:val="006B455D"/>
    <w:rsid w:val="006B649E"/>
    <w:rsid w:val="006B64AC"/>
    <w:rsid w:val="006B65BE"/>
    <w:rsid w:val="006B71BB"/>
    <w:rsid w:val="006B7C86"/>
    <w:rsid w:val="006C02E0"/>
    <w:rsid w:val="006C02E9"/>
    <w:rsid w:val="006C09DE"/>
    <w:rsid w:val="006C11B1"/>
    <w:rsid w:val="006C1474"/>
    <w:rsid w:val="006C1ED3"/>
    <w:rsid w:val="006C2023"/>
    <w:rsid w:val="006C2C30"/>
    <w:rsid w:val="006C302A"/>
    <w:rsid w:val="006C4299"/>
    <w:rsid w:val="006C48E4"/>
    <w:rsid w:val="006C4CE6"/>
    <w:rsid w:val="006C5283"/>
    <w:rsid w:val="006C533B"/>
    <w:rsid w:val="006C6251"/>
    <w:rsid w:val="006C7301"/>
    <w:rsid w:val="006D01D7"/>
    <w:rsid w:val="006D04F7"/>
    <w:rsid w:val="006D094F"/>
    <w:rsid w:val="006D0A52"/>
    <w:rsid w:val="006D0FCF"/>
    <w:rsid w:val="006D17C4"/>
    <w:rsid w:val="006D1E87"/>
    <w:rsid w:val="006D32FC"/>
    <w:rsid w:val="006D3BB3"/>
    <w:rsid w:val="006D42D8"/>
    <w:rsid w:val="006D4663"/>
    <w:rsid w:val="006D54A2"/>
    <w:rsid w:val="006D5EA9"/>
    <w:rsid w:val="006D7DAD"/>
    <w:rsid w:val="006E05E4"/>
    <w:rsid w:val="006E45B9"/>
    <w:rsid w:val="006E7275"/>
    <w:rsid w:val="006F1060"/>
    <w:rsid w:val="006F13B3"/>
    <w:rsid w:val="006F27C4"/>
    <w:rsid w:val="006F32C1"/>
    <w:rsid w:val="006F4076"/>
    <w:rsid w:val="006F5336"/>
    <w:rsid w:val="006F6829"/>
    <w:rsid w:val="006F6859"/>
    <w:rsid w:val="00702C85"/>
    <w:rsid w:val="0070387D"/>
    <w:rsid w:val="00703BD4"/>
    <w:rsid w:val="00703F88"/>
    <w:rsid w:val="0070400E"/>
    <w:rsid w:val="00706FB8"/>
    <w:rsid w:val="0070729D"/>
    <w:rsid w:val="00707934"/>
    <w:rsid w:val="00707D03"/>
    <w:rsid w:val="007103B7"/>
    <w:rsid w:val="0071131E"/>
    <w:rsid w:val="00711ED4"/>
    <w:rsid w:val="007121C9"/>
    <w:rsid w:val="00714F8C"/>
    <w:rsid w:val="00716178"/>
    <w:rsid w:val="00716186"/>
    <w:rsid w:val="0071691B"/>
    <w:rsid w:val="00716DC8"/>
    <w:rsid w:val="00717406"/>
    <w:rsid w:val="0071784E"/>
    <w:rsid w:val="007216D5"/>
    <w:rsid w:val="00721DE4"/>
    <w:rsid w:val="0072229F"/>
    <w:rsid w:val="00723898"/>
    <w:rsid w:val="00723A46"/>
    <w:rsid w:val="00723CC5"/>
    <w:rsid w:val="0072440D"/>
    <w:rsid w:val="00724AF2"/>
    <w:rsid w:val="0072518C"/>
    <w:rsid w:val="00726773"/>
    <w:rsid w:val="0072710D"/>
    <w:rsid w:val="00727CCA"/>
    <w:rsid w:val="007307A7"/>
    <w:rsid w:val="00730BBA"/>
    <w:rsid w:val="00731922"/>
    <w:rsid w:val="00731AC9"/>
    <w:rsid w:val="007328BD"/>
    <w:rsid w:val="00732CF7"/>
    <w:rsid w:val="007333E9"/>
    <w:rsid w:val="00733831"/>
    <w:rsid w:val="00735169"/>
    <w:rsid w:val="00735935"/>
    <w:rsid w:val="00735F18"/>
    <w:rsid w:val="00737650"/>
    <w:rsid w:val="00737716"/>
    <w:rsid w:val="00737942"/>
    <w:rsid w:val="00737F7E"/>
    <w:rsid w:val="007411AF"/>
    <w:rsid w:val="0074130A"/>
    <w:rsid w:val="007417BD"/>
    <w:rsid w:val="007436F5"/>
    <w:rsid w:val="00744CC7"/>
    <w:rsid w:val="00746133"/>
    <w:rsid w:val="007461C9"/>
    <w:rsid w:val="007465C1"/>
    <w:rsid w:val="00747280"/>
    <w:rsid w:val="007501B5"/>
    <w:rsid w:val="00750282"/>
    <w:rsid w:val="00750E96"/>
    <w:rsid w:val="00752FC2"/>
    <w:rsid w:val="0075459D"/>
    <w:rsid w:val="00754787"/>
    <w:rsid w:val="007548CB"/>
    <w:rsid w:val="007554E4"/>
    <w:rsid w:val="00755890"/>
    <w:rsid w:val="007571D9"/>
    <w:rsid w:val="0075761D"/>
    <w:rsid w:val="0076193A"/>
    <w:rsid w:val="00764674"/>
    <w:rsid w:val="007662B8"/>
    <w:rsid w:val="00766811"/>
    <w:rsid w:val="00766BDD"/>
    <w:rsid w:val="00767AA7"/>
    <w:rsid w:val="00767D7C"/>
    <w:rsid w:val="007711EE"/>
    <w:rsid w:val="007712AB"/>
    <w:rsid w:val="00771F62"/>
    <w:rsid w:val="007728EF"/>
    <w:rsid w:val="00773349"/>
    <w:rsid w:val="007744E7"/>
    <w:rsid w:val="00774CD0"/>
    <w:rsid w:val="0077533E"/>
    <w:rsid w:val="0077544B"/>
    <w:rsid w:val="00775BC4"/>
    <w:rsid w:val="00776A14"/>
    <w:rsid w:val="00780F8B"/>
    <w:rsid w:val="0078124B"/>
    <w:rsid w:val="00782469"/>
    <w:rsid w:val="0078292B"/>
    <w:rsid w:val="0078302D"/>
    <w:rsid w:val="00783B58"/>
    <w:rsid w:val="00783C77"/>
    <w:rsid w:val="00787827"/>
    <w:rsid w:val="00792A65"/>
    <w:rsid w:val="00795546"/>
    <w:rsid w:val="00795890"/>
    <w:rsid w:val="0079599F"/>
    <w:rsid w:val="00795C99"/>
    <w:rsid w:val="00796177"/>
    <w:rsid w:val="007A11D1"/>
    <w:rsid w:val="007A1381"/>
    <w:rsid w:val="007A217C"/>
    <w:rsid w:val="007A3524"/>
    <w:rsid w:val="007A4AD6"/>
    <w:rsid w:val="007A4C37"/>
    <w:rsid w:val="007A54AB"/>
    <w:rsid w:val="007A5C19"/>
    <w:rsid w:val="007A7202"/>
    <w:rsid w:val="007A7BE6"/>
    <w:rsid w:val="007B08C5"/>
    <w:rsid w:val="007B127A"/>
    <w:rsid w:val="007B1543"/>
    <w:rsid w:val="007B2AC4"/>
    <w:rsid w:val="007B2F69"/>
    <w:rsid w:val="007B39DC"/>
    <w:rsid w:val="007B431E"/>
    <w:rsid w:val="007B7949"/>
    <w:rsid w:val="007C1230"/>
    <w:rsid w:val="007C14FF"/>
    <w:rsid w:val="007C2E9E"/>
    <w:rsid w:val="007C48CB"/>
    <w:rsid w:val="007C59DB"/>
    <w:rsid w:val="007C5A4E"/>
    <w:rsid w:val="007C734B"/>
    <w:rsid w:val="007D0C14"/>
    <w:rsid w:val="007D1A00"/>
    <w:rsid w:val="007D1EAE"/>
    <w:rsid w:val="007D219D"/>
    <w:rsid w:val="007D222B"/>
    <w:rsid w:val="007D265E"/>
    <w:rsid w:val="007D3164"/>
    <w:rsid w:val="007D3778"/>
    <w:rsid w:val="007D3D7F"/>
    <w:rsid w:val="007D53CE"/>
    <w:rsid w:val="007D56BB"/>
    <w:rsid w:val="007D6D8E"/>
    <w:rsid w:val="007E033E"/>
    <w:rsid w:val="007E1732"/>
    <w:rsid w:val="007E28CE"/>
    <w:rsid w:val="007E34FE"/>
    <w:rsid w:val="007E422E"/>
    <w:rsid w:val="007E4B5E"/>
    <w:rsid w:val="007E59CA"/>
    <w:rsid w:val="007E6FEA"/>
    <w:rsid w:val="007E7A5D"/>
    <w:rsid w:val="007E7F5D"/>
    <w:rsid w:val="007F0052"/>
    <w:rsid w:val="007F0A0E"/>
    <w:rsid w:val="007F3914"/>
    <w:rsid w:val="007F4186"/>
    <w:rsid w:val="007F4D57"/>
    <w:rsid w:val="007F50CE"/>
    <w:rsid w:val="007F6F53"/>
    <w:rsid w:val="00801B16"/>
    <w:rsid w:val="0080314D"/>
    <w:rsid w:val="00803318"/>
    <w:rsid w:val="00804C83"/>
    <w:rsid w:val="008063AF"/>
    <w:rsid w:val="00807F20"/>
    <w:rsid w:val="00807FEF"/>
    <w:rsid w:val="00810323"/>
    <w:rsid w:val="00810D8F"/>
    <w:rsid w:val="0081188F"/>
    <w:rsid w:val="00811B86"/>
    <w:rsid w:val="00812CB6"/>
    <w:rsid w:val="00815736"/>
    <w:rsid w:val="0081692E"/>
    <w:rsid w:val="00816A05"/>
    <w:rsid w:val="0081731F"/>
    <w:rsid w:val="00817320"/>
    <w:rsid w:val="00820A34"/>
    <w:rsid w:val="00820A95"/>
    <w:rsid w:val="00821895"/>
    <w:rsid w:val="00821B23"/>
    <w:rsid w:val="00822279"/>
    <w:rsid w:val="00823A58"/>
    <w:rsid w:val="00824028"/>
    <w:rsid w:val="00825402"/>
    <w:rsid w:val="0082695C"/>
    <w:rsid w:val="00826C3B"/>
    <w:rsid w:val="00827138"/>
    <w:rsid w:val="0082782D"/>
    <w:rsid w:val="00827A6F"/>
    <w:rsid w:val="00827D50"/>
    <w:rsid w:val="00827EB8"/>
    <w:rsid w:val="008306AB"/>
    <w:rsid w:val="00830791"/>
    <w:rsid w:val="00831114"/>
    <w:rsid w:val="0083244E"/>
    <w:rsid w:val="008328B0"/>
    <w:rsid w:val="00832A00"/>
    <w:rsid w:val="00832BB2"/>
    <w:rsid w:val="00833112"/>
    <w:rsid w:val="00833A34"/>
    <w:rsid w:val="00833AE7"/>
    <w:rsid w:val="0083426E"/>
    <w:rsid w:val="0083573D"/>
    <w:rsid w:val="00835C2F"/>
    <w:rsid w:val="008362E2"/>
    <w:rsid w:val="00836F5F"/>
    <w:rsid w:val="0083719E"/>
    <w:rsid w:val="00840155"/>
    <w:rsid w:val="008448DF"/>
    <w:rsid w:val="00845192"/>
    <w:rsid w:val="00846594"/>
    <w:rsid w:val="008470B3"/>
    <w:rsid w:val="00850F02"/>
    <w:rsid w:val="0085167E"/>
    <w:rsid w:val="008530D2"/>
    <w:rsid w:val="00853978"/>
    <w:rsid w:val="00853E15"/>
    <w:rsid w:val="008567DC"/>
    <w:rsid w:val="00856FDC"/>
    <w:rsid w:val="0086016E"/>
    <w:rsid w:val="0086023D"/>
    <w:rsid w:val="0086199A"/>
    <w:rsid w:val="008623A4"/>
    <w:rsid w:val="00864861"/>
    <w:rsid w:val="00865A27"/>
    <w:rsid w:val="00867367"/>
    <w:rsid w:val="00870200"/>
    <w:rsid w:val="00870280"/>
    <w:rsid w:val="00873528"/>
    <w:rsid w:val="0087387D"/>
    <w:rsid w:val="0087482E"/>
    <w:rsid w:val="00874A94"/>
    <w:rsid w:val="00875CFA"/>
    <w:rsid w:val="008777E4"/>
    <w:rsid w:val="00877DC3"/>
    <w:rsid w:val="00881A59"/>
    <w:rsid w:val="00883743"/>
    <w:rsid w:val="00885D74"/>
    <w:rsid w:val="008877BA"/>
    <w:rsid w:val="00890AD9"/>
    <w:rsid w:val="00890C97"/>
    <w:rsid w:val="008920EA"/>
    <w:rsid w:val="00892160"/>
    <w:rsid w:val="008943E3"/>
    <w:rsid w:val="008949E6"/>
    <w:rsid w:val="008970AB"/>
    <w:rsid w:val="0089727C"/>
    <w:rsid w:val="00897804"/>
    <w:rsid w:val="008A062C"/>
    <w:rsid w:val="008A0FA9"/>
    <w:rsid w:val="008A1377"/>
    <w:rsid w:val="008A15DA"/>
    <w:rsid w:val="008A1BD9"/>
    <w:rsid w:val="008A316D"/>
    <w:rsid w:val="008A528C"/>
    <w:rsid w:val="008A585C"/>
    <w:rsid w:val="008A6389"/>
    <w:rsid w:val="008A65E4"/>
    <w:rsid w:val="008A70FB"/>
    <w:rsid w:val="008B0C42"/>
    <w:rsid w:val="008B2AB1"/>
    <w:rsid w:val="008B4308"/>
    <w:rsid w:val="008B4DD7"/>
    <w:rsid w:val="008B4E1F"/>
    <w:rsid w:val="008B5B50"/>
    <w:rsid w:val="008B76B0"/>
    <w:rsid w:val="008C0CC2"/>
    <w:rsid w:val="008C1136"/>
    <w:rsid w:val="008C1D78"/>
    <w:rsid w:val="008C3988"/>
    <w:rsid w:val="008C3CE2"/>
    <w:rsid w:val="008C4906"/>
    <w:rsid w:val="008C5EBB"/>
    <w:rsid w:val="008D23F8"/>
    <w:rsid w:val="008D29E9"/>
    <w:rsid w:val="008D386D"/>
    <w:rsid w:val="008D3947"/>
    <w:rsid w:val="008D4351"/>
    <w:rsid w:val="008D482F"/>
    <w:rsid w:val="008D4E31"/>
    <w:rsid w:val="008D4F7C"/>
    <w:rsid w:val="008D5103"/>
    <w:rsid w:val="008D5161"/>
    <w:rsid w:val="008D6002"/>
    <w:rsid w:val="008D6457"/>
    <w:rsid w:val="008D7835"/>
    <w:rsid w:val="008D7CB5"/>
    <w:rsid w:val="008E0F1D"/>
    <w:rsid w:val="008E16AD"/>
    <w:rsid w:val="008E29BE"/>
    <w:rsid w:val="008E342D"/>
    <w:rsid w:val="008E56A8"/>
    <w:rsid w:val="008E646A"/>
    <w:rsid w:val="008E6FC5"/>
    <w:rsid w:val="008F18C7"/>
    <w:rsid w:val="008F1933"/>
    <w:rsid w:val="008F194B"/>
    <w:rsid w:val="008F1AB1"/>
    <w:rsid w:val="008F1EA4"/>
    <w:rsid w:val="008F2C86"/>
    <w:rsid w:val="008F3941"/>
    <w:rsid w:val="008F5C54"/>
    <w:rsid w:val="008F620E"/>
    <w:rsid w:val="008F7050"/>
    <w:rsid w:val="0090021F"/>
    <w:rsid w:val="009012B7"/>
    <w:rsid w:val="00902769"/>
    <w:rsid w:val="00905162"/>
    <w:rsid w:val="00905CC0"/>
    <w:rsid w:val="00905DBD"/>
    <w:rsid w:val="0090769D"/>
    <w:rsid w:val="00910825"/>
    <w:rsid w:val="00910851"/>
    <w:rsid w:val="00911415"/>
    <w:rsid w:val="00911B3D"/>
    <w:rsid w:val="009120F9"/>
    <w:rsid w:val="00912CC6"/>
    <w:rsid w:val="00913DE2"/>
    <w:rsid w:val="00913EFE"/>
    <w:rsid w:val="00913FDC"/>
    <w:rsid w:val="009140E3"/>
    <w:rsid w:val="00914CCC"/>
    <w:rsid w:val="0091527F"/>
    <w:rsid w:val="00915830"/>
    <w:rsid w:val="00915F6E"/>
    <w:rsid w:val="00921321"/>
    <w:rsid w:val="00921480"/>
    <w:rsid w:val="00923FB1"/>
    <w:rsid w:val="00924004"/>
    <w:rsid w:val="009245E6"/>
    <w:rsid w:val="00924F6C"/>
    <w:rsid w:val="00925DA8"/>
    <w:rsid w:val="00925E4C"/>
    <w:rsid w:val="0092787C"/>
    <w:rsid w:val="00927F79"/>
    <w:rsid w:val="00930595"/>
    <w:rsid w:val="009307EF"/>
    <w:rsid w:val="00930932"/>
    <w:rsid w:val="0093093F"/>
    <w:rsid w:val="00930C5C"/>
    <w:rsid w:val="00932178"/>
    <w:rsid w:val="00933DC3"/>
    <w:rsid w:val="00934418"/>
    <w:rsid w:val="009356ED"/>
    <w:rsid w:val="009363C2"/>
    <w:rsid w:val="00936CE2"/>
    <w:rsid w:val="00937361"/>
    <w:rsid w:val="0094102B"/>
    <w:rsid w:val="0094128E"/>
    <w:rsid w:val="00941FDA"/>
    <w:rsid w:val="00942390"/>
    <w:rsid w:val="00942909"/>
    <w:rsid w:val="00943E36"/>
    <w:rsid w:val="00944581"/>
    <w:rsid w:val="009445D1"/>
    <w:rsid w:val="009449AB"/>
    <w:rsid w:val="009457A2"/>
    <w:rsid w:val="00946623"/>
    <w:rsid w:val="009501CD"/>
    <w:rsid w:val="00951372"/>
    <w:rsid w:val="009518EC"/>
    <w:rsid w:val="00952232"/>
    <w:rsid w:val="00952767"/>
    <w:rsid w:val="00953725"/>
    <w:rsid w:val="00953B91"/>
    <w:rsid w:val="00954103"/>
    <w:rsid w:val="00955B79"/>
    <w:rsid w:val="00955DB7"/>
    <w:rsid w:val="00956278"/>
    <w:rsid w:val="00960AC8"/>
    <w:rsid w:val="00962D64"/>
    <w:rsid w:val="00962E71"/>
    <w:rsid w:val="00963C88"/>
    <w:rsid w:val="00965ABC"/>
    <w:rsid w:val="0096629B"/>
    <w:rsid w:val="00966CD8"/>
    <w:rsid w:val="00971E34"/>
    <w:rsid w:val="009731D7"/>
    <w:rsid w:val="00973E76"/>
    <w:rsid w:val="00975540"/>
    <w:rsid w:val="00975D00"/>
    <w:rsid w:val="009761AC"/>
    <w:rsid w:val="009771CE"/>
    <w:rsid w:val="00977B2F"/>
    <w:rsid w:val="0098124B"/>
    <w:rsid w:val="00981490"/>
    <w:rsid w:val="00981CC4"/>
    <w:rsid w:val="00982570"/>
    <w:rsid w:val="00982BA5"/>
    <w:rsid w:val="00982FC9"/>
    <w:rsid w:val="00984C7C"/>
    <w:rsid w:val="00985251"/>
    <w:rsid w:val="009855CC"/>
    <w:rsid w:val="00985807"/>
    <w:rsid w:val="009865FB"/>
    <w:rsid w:val="00987D6A"/>
    <w:rsid w:val="00987E63"/>
    <w:rsid w:val="00990DD8"/>
    <w:rsid w:val="00991E98"/>
    <w:rsid w:val="00992B0F"/>
    <w:rsid w:val="00993545"/>
    <w:rsid w:val="00993850"/>
    <w:rsid w:val="009940B0"/>
    <w:rsid w:val="00994566"/>
    <w:rsid w:val="0099513A"/>
    <w:rsid w:val="0099582B"/>
    <w:rsid w:val="00996468"/>
    <w:rsid w:val="009964FE"/>
    <w:rsid w:val="009A0737"/>
    <w:rsid w:val="009A0B15"/>
    <w:rsid w:val="009A0C29"/>
    <w:rsid w:val="009A1605"/>
    <w:rsid w:val="009A27B0"/>
    <w:rsid w:val="009A38A4"/>
    <w:rsid w:val="009A3A50"/>
    <w:rsid w:val="009A422D"/>
    <w:rsid w:val="009A568A"/>
    <w:rsid w:val="009A5B3A"/>
    <w:rsid w:val="009A6B5D"/>
    <w:rsid w:val="009A7197"/>
    <w:rsid w:val="009A753D"/>
    <w:rsid w:val="009A796E"/>
    <w:rsid w:val="009B077A"/>
    <w:rsid w:val="009B1132"/>
    <w:rsid w:val="009B2847"/>
    <w:rsid w:val="009B3465"/>
    <w:rsid w:val="009B381F"/>
    <w:rsid w:val="009B4600"/>
    <w:rsid w:val="009B53CB"/>
    <w:rsid w:val="009B5F8B"/>
    <w:rsid w:val="009C294F"/>
    <w:rsid w:val="009C2DE6"/>
    <w:rsid w:val="009C33A3"/>
    <w:rsid w:val="009C3ABF"/>
    <w:rsid w:val="009C469F"/>
    <w:rsid w:val="009C4F88"/>
    <w:rsid w:val="009C579C"/>
    <w:rsid w:val="009C57CA"/>
    <w:rsid w:val="009C660D"/>
    <w:rsid w:val="009C6B7D"/>
    <w:rsid w:val="009C6BE5"/>
    <w:rsid w:val="009D07F0"/>
    <w:rsid w:val="009D258F"/>
    <w:rsid w:val="009D29D3"/>
    <w:rsid w:val="009D2F82"/>
    <w:rsid w:val="009D3D52"/>
    <w:rsid w:val="009D4361"/>
    <w:rsid w:val="009D4DA1"/>
    <w:rsid w:val="009D541D"/>
    <w:rsid w:val="009D5A44"/>
    <w:rsid w:val="009D5B17"/>
    <w:rsid w:val="009D6E1F"/>
    <w:rsid w:val="009D71DA"/>
    <w:rsid w:val="009E07BD"/>
    <w:rsid w:val="009E1CFE"/>
    <w:rsid w:val="009E1F36"/>
    <w:rsid w:val="009E1F9D"/>
    <w:rsid w:val="009E4249"/>
    <w:rsid w:val="009E632B"/>
    <w:rsid w:val="009E6B8C"/>
    <w:rsid w:val="009E73D6"/>
    <w:rsid w:val="009E78DC"/>
    <w:rsid w:val="009F02E4"/>
    <w:rsid w:val="009F1646"/>
    <w:rsid w:val="009F19F1"/>
    <w:rsid w:val="009F26D6"/>
    <w:rsid w:val="009F2C7B"/>
    <w:rsid w:val="009F2CF0"/>
    <w:rsid w:val="009F3191"/>
    <w:rsid w:val="009F3815"/>
    <w:rsid w:val="009F3A96"/>
    <w:rsid w:val="009F3C8C"/>
    <w:rsid w:val="009F4307"/>
    <w:rsid w:val="009F45FF"/>
    <w:rsid w:val="009F509B"/>
    <w:rsid w:val="009F5B0E"/>
    <w:rsid w:val="009F6892"/>
    <w:rsid w:val="009F72A8"/>
    <w:rsid w:val="009F72F8"/>
    <w:rsid w:val="00A024AD"/>
    <w:rsid w:val="00A0367B"/>
    <w:rsid w:val="00A054D3"/>
    <w:rsid w:val="00A064AB"/>
    <w:rsid w:val="00A06AF4"/>
    <w:rsid w:val="00A06DD1"/>
    <w:rsid w:val="00A07A2E"/>
    <w:rsid w:val="00A10506"/>
    <w:rsid w:val="00A10CFB"/>
    <w:rsid w:val="00A10DB1"/>
    <w:rsid w:val="00A13A0A"/>
    <w:rsid w:val="00A13CED"/>
    <w:rsid w:val="00A16121"/>
    <w:rsid w:val="00A16F55"/>
    <w:rsid w:val="00A20F62"/>
    <w:rsid w:val="00A21A25"/>
    <w:rsid w:val="00A21BBA"/>
    <w:rsid w:val="00A229F3"/>
    <w:rsid w:val="00A23140"/>
    <w:rsid w:val="00A23479"/>
    <w:rsid w:val="00A2364D"/>
    <w:rsid w:val="00A23A72"/>
    <w:rsid w:val="00A25A9D"/>
    <w:rsid w:val="00A26EEA"/>
    <w:rsid w:val="00A2795A"/>
    <w:rsid w:val="00A305AF"/>
    <w:rsid w:val="00A326E6"/>
    <w:rsid w:val="00A330E2"/>
    <w:rsid w:val="00A33D13"/>
    <w:rsid w:val="00A35408"/>
    <w:rsid w:val="00A35D8C"/>
    <w:rsid w:val="00A36B75"/>
    <w:rsid w:val="00A401DB"/>
    <w:rsid w:val="00A40F52"/>
    <w:rsid w:val="00A43B6A"/>
    <w:rsid w:val="00A43C0D"/>
    <w:rsid w:val="00A50033"/>
    <w:rsid w:val="00A50626"/>
    <w:rsid w:val="00A52752"/>
    <w:rsid w:val="00A544C9"/>
    <w:rsid w:val="00A55331"/>
    <w:rsid w:val="00A55FEA"/>
    <w:rsid w:val="00A571C8"/>
    <w:rsid w:val="00A5745C"/>
    <w:rsid w:val="00A57BB7"/>
    <w:rsid w:val="00A61345"/>
    <w:rsid w:val="00A6166F"/>
    <w:rsid w:val="00A62775"/>
    <w:rsid w:val="00A64760"/>
    <w:rsid w:val="00A65B05"/>
    <w:rsid w:val="00A65BD4"/>
    <w:rsid w:val="00A66DBB"/>
    <w:rsid w:val="00A679CB"/>
    <w:rsid w:val="00A72AE8"/>
    <w:rsid w:val="00A72C3D"/>
    <w:rsid w:val="00A738F5"/>
    <w:rsid w:val="00A74281"/>
    <w:rsid w:val="00A7550A"/>
    <w:rsid w:val="00A75D5E"/>
    <w:rsid w:val="00A76B5F"/>
    <w:rsid w:val="00A77AA3"/>
    <w:rsid w:val="00A81DA4"/>
    <w:rsid w:val="00A82884"/>
    <w:rsid w:val="00A857A9"/>
    <w:rsid w:val="00A87223"/>
    <w:rsid w:val="00A90328"/>
    <w:rsid w:val="00A90575"/>
    <w:rsid w:val="00A90FD6"/>
    <w:rsid w:val="00A910A2"/>
    <w:rsid w:val="00A91309"/>
    <w:rsid w:val="00A92FDA"/>
    <w:rsid w:val="00A944F5"/>
    <w:rsid w:val="00A9471C"/>
    <w:rsid w:val="00A94CF5"/>
    <w:rsid w:val="00A95EFD"/>
    <w:rsid w:val="00A963A3"/>
    <w:rsid w:val="00A96B28"/>
    <w:rsid w:val="00A9703C"/>
    <w:rsid w:val="00A97939"/>
    <w:rsid w:val="00A97ABB"/>
    <w:rsid w:val="00A97B45"/>
    <w:rsid w:val="00A97F70"/>
    <w:rsid w:val="00AA2084"/>
    <w:rsid w:val="00AA2384"/>
    <w:rsid w:val="00AA533C"/>
    <w:rsid w:val="00AA547F"/>
    <w:rsid w:val="00AA5A86"/>
    <w:rsid w:val="00AA5D9F"/>
    <w:rsid w:val="00AA5E2E"/>
    <w:rsid w:val="00AA657A"/>
    <w:rsid w:val="00AA6615"/>
    <w:rsid w:val="00AA67D7"/>
    <w:rsid w:val="00AB0632"/>
    <w:rsid w:val="00AB14D6"/>
    <w:rsid w:val="00AB27D9"/>
    <w:rsid w:val="00AB2B20"/>
    <w:rsid w:val="00AB5226"/>
    <w:rsid w:val="00AB6DB4"/>
    <w:rsid w:val="00AB7BE1"/>
    <w:rsid w:val="00AC1A9D"/>
    <w:rsid w:val="00AC25E3"/>
    <w:rsid w:val="00AC2844"/>
    <w:rsid w:val="00AC6621"/>
    <w:rsid w:val="00AC6B6D"/>
    <w:rsid w:val="00AC6E1F"/>
    <w:rsid w:val="00AC7CA8"/>
    <w:rsid w:val="00AD1037"/>
    <w:rsid w:val="00AD148B"/>
    <w:rsid w:val="00AD2962"/>
    <w:rsid w:val="00AD30D0"/>
    <w:rsid w:val="00AD3A8D"/>
    <w:rsid w:val="00AD3DAF"/>
    <w:rsid w:val="00AD5328"/>
    <w:rsid w:val="00AD649D"/>
    <w:rsid w:val="00AD6AD3"/>
    <w:rsid w:val="00AD7369"/>
    <w:rsid w:val="00AE09BA"/>
    <w:rsid w:val="00AE0CC3"/>
    <w:rsid w:val="00AE28BA"/>
    <w:rsid w:val="00AE2A18"/>
    <w:rsid w:val="00AE2E46"/>
    <w:rsid w:val="00AE3FF2"/>
    <w:rsid w:val="00AE5128"/>
    <w:rsid w:val="00AE6EA0"/>
    <w:rsid w:val="00AE7902"/>
    <w:rsid w:val="00AE7FC7"/>
    <w:rsid w:val="00AF2567"/>
    <w:rsid w:val="00AF3439"/>
    <w:rsid w:val="00AF3747"/>
    <w:rsid w:val="00AF43AE"/>
    <w:rsid w:val="00AF5340"/>
    <w:rsid w:val="00AF53D2"/>
    <w:rsid w:val="00AF68EF"/>
    <w:rsid w:val="00B00575"/>
    <w:rsid w:val="00B01D2B"/>
    <w:rsid w:val="00B02007"/>
    <w:rsid w:val="00B04413"/>
    <w:rsid w:val="00B04636"/>
    <w:rsid w:val="00B04AB0"/>
    <w:rsid w:val="00B04F90"/>
    <w:rsid w:val="00B06CC8"/>
    <w:rsid w:val="00B07101"/>
    <w:rsid w:val="00B07CDE"/>
    <w:rsid w:val="00B10118"/>
    <w:rsid w:val="00B104C7"/>
    <w:rsid w:val="00B11B0B"/>
    <w:rsid w:val="00B126E4"/>
    <w:rsid w:val="00B17159"/>
    <w:rsid w:val="00B179F2"/>
    <w:rsid w:val="00B20629"/>
    <w:rsid w:val="00B206AD"/>
    <w:rsid w:val="00B220DB"/>
    <w:rsid w:val="00B22B52"/>
    <w:rsid w:val="00B23FA5"/>
    <w:rsid w:val="00B24943"/>
    <w:rsid w:val="00B27F83"/>
    <w:rsid w:val="00B326AC"/>
    <w:rsid w:val="00B3388D"/>
    <w:rsid w:val="00B33999"/>
    <w:rsid w:val="00B33F36"/>
    <w:rsid w:val="00B3421D"/>
    <w:rsid w:val="00B34CDC"/>
    <w:rsid w:val="00B3708F"/>
    <w:rsid w:val="00B37D77"/>
    <w:rsid w:val="00B40E4B"/>
    <w:rsid w:val="00B41BB8"/>
    <w:rsid w:val="00B42560"/>
    <w:rsid w:val="00B4306B"/>
    <w:rsid w:val="00B45437"/>
    <w:rsid w:val="00B46527"/>
    <w:rsid w:val="00B47151"/>
    <w:rsid w:val="00B47B54"/>
    <w:rsid w:val="00B50589"/>
    <w:rsid w:val="00B50A2B"/>
    <w:rsid w:val="00B51BA0"/>
    <w:rsid w:val="00B51BA2"/>
    <w:rsid w:val="00B5278A"/>
    <w:rsid w:val="00B52B71"/>
    <w:rsid w:val="00B5407D"/>
    <w:rsid w:val="00B54BA9"/>
    <w:rsid w:val="00B556B0"/>
    <w:rsid w:val="00B56AB3"/>
    <w:rsid w:val="00B60336"/>
    <w:rsid w:val="00B62341"/>
    <w:rsid w:val="00B62B48"/>
    <w:rsid w:val="00B62D48"/>
    <w:rsid w:val="00B648C5"/>
    <w:rsid w:val="00B65CFE"/>
    <w:rsid w:val="00B662B4"/>
    <w:rsid w:val="00B67C65"/>
    <w:rsid w:val="00B67DA5"/>
    <w:rsid w:val="00B70C66"/>
    <w:rsid w:val="00B7127D"/>
    <w:rsid w:val="00B71E17"/>
    <w:rsid w:val="00B72EFE"/>
    <w:rsid w:val="00B74B18"/>
    <w:rsid w:val="00B74EB8"/>
    <w:rsid w:val="00B74F29"/>
    <w:rsid w:val="00B75299"/>
    <w:rsid w:val="00B75C6F"/>
    <w:rsid w:val="00B75E57"/>
    <w:rsid w:val="00B76527"/>
    <w:rsid w:val="00B766D9"/>
    <w:rsid w:val="00B767E1"/>
    <w:rsid w:val="00B77551"/>
    <w:rsid w:val="00B776AB"/>
    <w:rsid w:val="00B776EC"/>
    <w:rsid w:val="00B81336"/>
    <w:rsid w:val="00B81898"/>
    <w:rsid w:val="00B81CAC"/>
    <w:rsid w:val="00B81E1E"/>
    <w:rsid w:val="00B82BAF"/>
    <w:rsid w:val="00B8349D"/>
    <w:rsid w:val="00B84F8F"/>
    <w:rsid w:val="00B8517A"/>
    <w:rsid w:val="00B85A91"/>
    <w:rsid w:val="00B8617C"/>
    <w:rsid w:val="00B875B7"/>
    <w:rsid w:val="00B90941"/>
    <w:rsid w:val="00B92406"/>
    <w:rsid w:val="00B92814"/>
    <w:rsid w:val="00B932A8"/>
    <w:rsid w:val="00B93964"/>
    <w:rsid w:val="00B93D37"/>
    <w:rsid w:val="00B954CE"/>
    <w:rsid w:val="00B9572B"/>
    <w:rsid w:val="00B959D8"/>
    <w:rsid w:val="00B970EF"/>
    <w:rsid w:val="00B97754"/>
    <w:rsid w:val="00B9784B"/>
    <w:rsid w:val="00BA015F"/>
    <w:rsid w:val="00BA117A"/>
    <w:rsid w:val="00BA124C"/>
    <w:rsid w:val="00BA1D6A"/>
    <w:rsid w:val="00BA3F49"/>
    <w:rsid w:val="00BA6621"/>
    <w:rsid w:val="00BA68E2"/>
    <w:rsid w:val="00BA6CA3"/>
    <w:rsid w:val="00BA6EEC"/>
    <w:rsid w:val="00BB024A"/>
    <w:rsid w:val="00BB0E32"/>
    <w:rsid w:val="00BB1226"/>
    <w:rsid w:val="00BB1846"/>
    <w:rsid w:val="00BB1995"/>
    <w:rsid w:val="00BB3EAB"/>
    <w:rsid w:val="00BB6D15"/>
    <w:rsid w:val="00BB770C"/>
    <w:rsid w:val="00BC11D4"/>
    <w:rsid w:val="00BC2943"/>
    <w:rsid w:val="00BC39D8"/>
    <w:rsid w:val="00BC4500"/>
    <w:rsid w:val="00BC4A10"/>
    <w:rsid w:val="00BC51D8"/>
    <w:rsid w:val="00BC5606"/>
    <w:rsid w:val="00BD0BE5"/>
    <w:rsid w:val="00BD0EEF"/>
    <w:rsid w:val="00BD1634"/>
    <w:rsid w:val="00BD1EB1"/>
    <w:rsid w:val="00BD217A"/>
    <w:rsid w:val="00BD2FB2"/>
    <w:rsid w:val="00BD4871"/>
    <w:rsid w:val="00BD4932"/>
    <w:rsid w:val="00BD5F4B"/>
    <w:rsid w:val="00BD647D"/>
    <w:rsid w:val="00BD6F6E"/>
    <w:rsid w:val="00BD71CD"/>
    <w:rsid w:val="00BE1A44"/>
    <w:rsid w:val="00BE1DF7"/>
    <w:rsid w:val="00BE2868"/>
    <w:rsid w:val="00BE345A"/>
    <w:rsid w:val="00BE386F"/>
    <w:rsid w:val="00BE441C"/>
    <w:rsid w:val="00BE4B99"/>
    <w:rsid w:val="00BE5CFF"/>
    <w:rsid w:val="00BE6C3A"/>
    <w:rsid w:val="00BE76A5"/>
    <w:rsid w:val="00BF0F90"/>
    <w:rsid w:val="00BF1E9E"/>
    <w:rsid w:val="00BF2A98"/>
    <w:rsid w:val="00BF2C23"/>
    <w:rsid w:val="00BF38B3"/>
    <w:rsid w:val="00BF3AC9"/>
    <w:rsid w:val="00BF4D5A"/>
    <w:rsid w:val="00BF56D3"/>
    <w:rsid w:val="00BF7339"/>
    <w:rsid w:val="00BF73A8"/>
    <w:rsid w:val="00C037CF"/>
    <w:rsid w:val="00C03A80"/>
    <w:rsid w:val="00C03F84"/>
    <w:rsid w:val="00C045D4"/>
    <w:rsid w:val="00C04B68"/>
    <w:rsid w:val="00C04B91"/>
    <w:rsid w:val="00C04C21"/>
    <w:rsid w:val="00C04EA1"/>
    <w:rsid w:val="00C050E8"/>
    <w:rsid w:val="00C10646"/>
    <w:rsid w:val="00C10EF1"/>
    <w:rsid w:val="00C11706"/>
    <w:rsid w:val="00C11921"/>
    <w:rsid w:val="00C12FBB"/>
    <w:rsid w:val="00C13BC8"/>
    <w:rsid w:val="00C140DB"/>
    <w:rsid w:val="00C148E7"/>
    <w:rsid w:val="00C158DA"/>
    <w:rsid w:val="00C15DBF"/>
    <w:rsid w:val="00C15EF8"/>
    <w:rsid w:val="00C1692B"/>
    <w:rsid w:val="00C178C3"/>
    <w:rsid w:val="00C200C5"/>
    <w:rsid w:val="00C20671"/>
    <w:rsid w:val="00C21529"/>
    <w:rsid w:val="00C21C50"/>
    <w:rsid w:val="00C22154"/>
    <w:rsid w:val="00C22CE1"/>
    <w:rsid w:val="00C237B0"/>
    <w:rsid w:val="00C2553A"/>
    <w:rsid w:val="00C25E1C"/>
    <w:rsid w:val="00C26CA1"/>
    <w:rsid w:val="00C26F72"/>
    <w:rsid w:val="00C27AA7"/>
    <w:rsid w:val="00C27AC8"/>
    <w:rsid w:val="00C3144B"/>
    <w:rsid w:val="00C31EEA"/>
    <w:rsid w:val="00C31F9C"/>
    <w:rsid w:val="00C3216A"/>
    <w:rsid w:val="00C32C95"/>
    <w:rsid w:val="00C32EC0"/>
    <w:rsid w:val="00C33499"/>
    <w:rsid w:val="00C345BF"/>
    <w:rsid w:val="00C3460C"/>
    <w:rsid w:val="00C35D4F"/>
    <w:rsid w:val="00C35F24"/>
    <w:rsid w:val="00C36A02"/>
    <w:rsid w:val="00C417C8"/>
    <w:rsid w:val="00C41A53"/>
    <w:rsid w:val="00C41E50"/>
    <w:rsid w:val="00C41F06"/>
    <w:rsid w:val="00C42B19"/>
    <w:rsid w:val="00C4596A"/>
    <w:rsid w:val="00C477B6"/>
    <w:rsid w:val="00C47E10"/>
    <w:rsid w:val="00C50F8C"/>
    <w:rsid w:val="00C527C1"/>
    <w:rsid w:val="00C530BB"/>
    <w:rsid w:val="00C534C9"/>
    <w:rsid w:val="00C536D9"/>
    <w:rsid w:val="00C53C0D"/>
    <w:rsid w:val="00C53CCA"/>
    <w:rsid w:val="00C5531E"/>
    <w:rsid w:val="00C564D9"/>
    <w:rsid w:val="00C56863"/>
    <w:rsid w:val="00C5715E"/>
    <w:rsid w:val="00C57E31"/>
    <w:rsid w:val="00C6022B"/>
    <w:rsid w:val="00C629D2"/>
    <w:rsid w:val="00C63174"/>
    <w:rsid w:val="00C638EC"/>
    <w:rsid w:val="00C6418D"/>
    <w:rsid w:val="00C646A7"/>
    <w:rsid w:val="00C65646"/>
    <w:rsid w:val="00C65DB2"/>
    <w:rsid w:val="00C66F2B"/>
    <w:rsid w:val="00C67509"/>
    <w:rsid w:val="00C67D24"/>
    <w:rsid w:val="00C67D74"/>
    <w:rsid w:val="00C708FE"/>
    <w:rsid w:val="00C71617"/>
    <w:rsid w:val="00C71AE8"/>
    <w:rsid w:val="00C71D69"/>
    <w:rsid w:val="00C71F22"/>
    <w:rsid w:val="00C72951"/>
    <w:rsid w:val="00C7320B"/>
    <w:rsid w:val="00C746BA"/>
    <w:rsid w:val="00C755F2"/>
    <w:rsid w:val="00C75CFF"/>
    <w:rsid w:val="00C76989"/>
    <w:rsid w:val="00C800ED"/>
    <w:rsid w:val="00C800F9"/>
    <w:rsid w:val="00C80A1F"/>
    <w:rsid w:val="00C80E08"/>
    <w:rsid w:val="00C81A9F"/>
    <w:rsid w:val="00C81AB2"/>
    <w:rsid w:val="00C81CED"/>
    <w:rsid w:val="00C83CBA"/>
    <w:rsid w:val="00C84A4A"/>
    <w:rsid w:val="00C86719"/>
    <w:rsid w:val="00C86840"/>
    <w:rsid w:val="00C868CA"/>
    <w:rsid w:val="00C86BCB"/>
    <w:rsid w:val="00C8784F"/>
    <w:rsid w:val="00C9016B"/>
    <w:rsid w:val="00C90D4A"/>
    <w:rsid w:val="00C91288"/>
    <w:rsid w:val="00C9171A"/>
    <w:rsid w:val="00C922CA"/>
    <w:rsid w:val="00C92F9A"/>
    <w:rsid w:val="00C94778"/>
    <w:rsid w:val="00C9713A"/>
    <w:rsid w:val="00CA0280"/>
    <w:rsid w:val="00CA0366"/>
    <w:rsid w:val="00CA046C"/>
    <w:rsid w:val="00CA11EF"/>
    <w:rsid w:val="00CA1427"/>
    <w:rsid w:val="00CA3582"/>
    <w:rsid w:val="00CA516B"/>
    <w:rsid w:val="00CA6443"/>
    <w:rsid w:val="00CA6B29"/>
    <w:rsid w:val="00CA7EB7"/>
    <w:rsid w:val="00CB0224"/>
    <w:rsid w:val="00CB05D9"/>
    <w:rsid w:val="00CB08BB"/>
    <w:rsid w:val="00CB105B"/>
    <w:rsid w:val="00CB1552"/>
    <w:rsid w:val="00CB1B42"/>
    <w:rsid w:val="00CB1BD0"/>
    <w:rsid w:val="00CB1C33"/>
    <w:rsid w:val="00CB3DA2"/>
    <w:rsid w:val="00CB438E"/>
    <w:rsid w:val="00CB58C2"/>
    <w:rsid w:val="00CB72ED"/>
    <w:rsid w:val="00CB7917"/>
    <w:rsid w:val="00CC028C"/>
    <w:rsid w:val="00CC1452"/>
    <w:rsid w:val="00CC366B"/>
    <w:rsid w:val="00CC414F"/>
    <w:rsid w:val="00CC432A"/>
    <w:rsid w:val="00CC4B2C"/>
    <w:rsid w:val="00CC4BE7"/>
    <w:rsid w:val="00CC55BD"/>
    <w:rsid w:val="00CC6706"/>
    <w:rsid w:val="00CC79CD"/>
    <w:rsid w:val="00CC7E25"/>
    <w:rsid w:val="00CD03B1"/>
    <w:rsid w:val="00CD15A1"/>
    <w:rsid w:val="00CD221A"/>
    <w:rsid w:val="00CD28B9"/>
    <w:rsid w:val="00CD35A3"/>
    <w:rsid w:val="00CD3AE0"/>
    <w:rsid w:val="00CD3B1B"/>
    <w:rsid w:val="00CD44BF"/>
    <w:rsid w:val="00CD51DB"/>
    <w:rsid w:val="00CD5A4A"/>
    <w:rsid w:val="00CD5A59"/>
    <w:rsid w:val="00CD5D3F"/>
    <w:rsid w:val="00CD622F"/>
    <w:rsid w:val="00CD6D5A"/>
    <w:rsid w:val="00CE03D0"/>
    <w:rsid w:val="00CE0914"/>
    <w:rsid w:val="00CE241D"/>
    <w:rsid w:val="00CE2575"/>
    <w:rsid w:val="00CE4004"/>
    <w:rsid w:val="00CE4D24"/>
    <w:rsid w:val="00CE509E"/>
    <w:rsid w:val="00CE55B7"/>
    <w:rsid w:val="00CE5C33"/>
    <w:rsid w:val="00CE6A08"/>
    <w:rsid w:val="00CE707E"/>
    <w:rsid w:val="00CE789C"/>
    <w:rsid w:val="00CF0114"/>
    <w:rsid w:val="00CF1DF9"/>
    <w:rsid w:val="00CF2827"/>
    <w:rsid w:val="00CF2C58"/>
    <w:rsid w:val="00CF317D"/>
    <w:rsid w:val="00CF33B9"/>
    <w:rsid w:val="00CF356D"/>
    <w:rsid w:val="00CF4318"/>
    <w:rsid w:val="00CF4B23"/>
    <w:rsid w:val="00CF575A"/>
    <w:rsid w:val="00D00041"/>
    <w:rsid w:val="00D013D9"/>
    <w:rsid w:val="00D0197F"/>
    <w:rsid w:val="00D03659"/>
    <w:rsid w:val="00D03F9B"/>
    <w:rsid w:val="00D06462"/>
    <w:rsid w:val="00D06A21"/>
    <w:rsid w:val="00D104B0"/>
    <w:rsid w:val="00D117D1"/>
    <w:rsid w:val="00D12407"/>
    <w:rsid w:val="00D13467"/>
    <w:rsid w:val="00D13B1A"/>
    <w:rsid w:val="00D13E74"/>
    <w:rsid w:val="00D144AB"/>
    <w:rsid w:val="00D145BB"/>
    <w:rsid w:val="00D14F4F"/>
    <w:rsid w:val="00D15746"/>
    <w:rsid w:val="00D15F92"/>
    <w:rsid w:val="00D1649D"/>
    <w:rsid w:val="00D173D3"/>
    <w:rsid w:val="00D17CA6"/>
    <w:rsid w:val="00D201AD"/>
    <w:rsid w:val="00D215C3"/>
    <w:rsid w:val="00D2238A"/>
    <w:rsid w:val="00D22C3F"/>
    <w:rsid w:val="00D23248"/>
    <w:rsid w:val="00D23F1E"/>
    <w:rsid w:val="00D24B48"/>
    <w:rsid w:val="00D25086"/>
    <w:rsid w:val="00D26155"/>
    <w:rsid w:val="00D261BD"/>
    <w:rsid w:val="00D26C8E"/>
    <w:rsid w:val="00D27916"/>
    <w:rsid w:val="00D30D7A"/>
    <w:rsid w:val="00D31E30"/>
    <w:rsid w:val="00D322E1"/>
    <w:rsid w:val="00D32C94"/>
    <w:rsid w:val="00D32F86"/>
    <w:rsid w:val="00D33DE6"/>
    <w:rsid w:val="00D358EB"/>
    <w:rsid w:val="00D362B1"/>
    <w:rsid w:val="00D3691C"/>
    <w:rsid w:val="00D371F8"/>
    <w:rsid w:val="00D378AE"/>
    <w:rsid w:val="00D40AD1"/>
    <w:rsid w:val="00D410D8"/>
    <w:rsid w:val="00D41291"/>
    <w:rsid w:val="00D41447"/>
    <w:rsid w:val="00D41DDC"/>
    <w:rsid w:val="00D42D3B"/>
    <w:rsid w:val="00D43B0B"/>
    <w:rsid w:val="00D43E1F"/>
    <w:rsid w:val="00D4576F"/>
    <w:rsid w:val="00D4616A"/>
    <w:rsid w:val="00D4684A"/>
    <w:rsid w:val="00D470B4"/>
    <w:rsid w:val="00D47D17"/>
    <w:rsid w:val="00D47F62"/>
    <w:rsid w:val="00D502DE"/>
    <w:rsid w:val="00D50A12"/>
    <w:rsid w:val="00D514D5"/>
    <w:rsid w:val="00D51D46"/>
    <w:rsid w:val="00D51F03"/>
    <w:rsid w:val="00D5316D"/>
    <w:rsid w:val="00D53B4B"/>
    <w:rsid w:val="00D53E66"/>
    <w:rsid w:val="00D54824"/>
    <w:rsid w:val="00D5519B"/>
    <w:rsid w:val="00D55EA4"/>
    <w:rsid w:val="00D5634D"/>
    <w:rsid w:val="00D56D09"/>
    <w:rsid w:val="00D60CE1"/>
    <w:rsid w:val="00D60D18"/>
    <w:rsid w:val="00D61349"/>
    <w:rsid w:val="00D62929"/>
    <w:rsid w:val="00D6301D"/>
    <w:rsid w:val="00D63C24"/>
    <w:rsid w:val="00D63C67"/>
    <w:rsid w:val="00D64F4A"/>
    <w:rsid w:val="00D65594"/>
    <w:rsid w:val="00D6603E"/>
    <w:rsid w:val="00D70272"/>
    <w:rsid w:val="00D7069B"/>
    <w:rsid w:val="00D70D94"/>
    <w:rsid w:val="00D719C0"/>
    <w:rsid w:val="00D72C04"/>
    <w:rsid w:val="00D73127"/>
    <w:rsid w:val="00D739D4"/>
    <w:rsid w:val="00D74958"/>
    <w:rsid w:val="00D80623"/>
    <w:rsid w:val="00D80B3D"/>
    <w:rsid w:val="00D81497"/>
    <w:rsid w:val="00D8417F"/>
    <w:rsid w:val="00D84667"/>
    <w:rsid w:val="00D8471C"/>
    <w:rsid w:val="00D851A0"/>
    <w:rsid w:val="00D8520E"/>
    <w:rsid w:val="00D85783"/>
    <w:rsid w:val="00D85DC8"/>
    <w:rsid w:val="00D86DAD"/>
    <w:rsid w:val="00D87AC9"/>
    <w:rsid w:val="00D90480"/>
    <w:rsid w:val="00D9083D"/>
    <w:rsid w:val="00D90E1B"/>
    <w:rsid w:val="00D923B4"/>
    <w:rsid w:val="00D92D82"/>
    <w:rsid w:val="00D948DC"/>
    <w:rsid w:val="00D958F5"/>
    <w:rsid w:val="00D95E24"/>
    <w:rsid w:val="00D97480"/>
    <w:rsid w:val="00D97A79"/>
    <w:rsid w:val="00DA001E"/>
    <w:rsid w:val="00DA0347"/>
    <w:rsid w:val="00DA0691"/>
    <w:rsid w:val="00DA232D"/>
    <w:rsid w:val="00DA3053"/>
    <w:rsid w:val="00DA39D1"/>
    <w:rsid w:val="00DA5465"/>
    <w:rsid w:val="00DA6919"/>
    <w:rsid w:val="00DA6FA4"/>
    <w:rsid w:val="00DA6FAA"/>
    <w:rsid w:val="00DA7486"/>
    <w:rsid w:val="00DA7590"/>
    <w:rsid w:val="00DA7AFA"/>
    <w:rsid w:val="00DA7B94"/>
    <w:rsid w:val="00DB0DE0"/>
    <w:rsid w:val="00DB1D47"/>
    <w:rsid w:val="00DB3A1E"/>
    <w:rsid w:val="00DB4401"/>
    <w:rsid w:val="00DB5B8D"/>
    <w:rsid w:val="00DC00D9"/>
    <w:rsid w:val="00DC1222"/>
    <w:rsid w:val="00DC1FD4"/>
    <w:rsid w:val="00DC3584"/>
    <w:rsid w:val="00DC461D"/>
    <w:rsid w:val="00DC4735"/>
    <w:rsid w:val="00DC4F5E"/>
    <w:rsid w:val="00DC50EF"/>
    <w:rsid w:val="00DC5D48"/>
    <w:rsid w:val="00DC6144"/>
    <w:rsid w:val="00DC6C98"/>
    <w:rsid w:val="00DC6D35"/>
    <w:rsid w:val="00DD153E"/>
    <w:rsid w:val="00DD4DD5"/>
    <w:rsid w:val="00DD63A6"/>
    <w:rsid w:val="00DD6B23"/>
    <w:rsid w:val="00DD6D10"/>
    <w:rsid w:val="00DD6D1A"/>
    <w:rsid w:val="00DE1C66"/>
    <w:rsid w:val="00DE2C3A"/>
    <w:rsid w:val="00DE303D"/>
    <w:rsid w:val="00DE3488"/>
    <w:rsid w:val="00DE4255"/>
    <w:rsid w:val="00DE49A3"/>
    <w:rsid w:val="00DE63F9"/>
    <w:rsid w:val="00DE6538"/>
    <w:rsid w:val="00DE6F33"/>
    <w:rsid w:val="00DF01EF"/>
    <w:rsid w:val="00DF2903"/>
    <w:rsid w:val="00DF2B02"/>
    <w:rsid w:val="00DF2BA5"/>
    <w:rsid w:val="00DF421A"/>
    <w:rsid w:val="00DF42E0"/>
    <w:rsid w:val="00DF43E5"/>
    <w:rsid w:val="00DF4486"/>
    <w:rsid w:val="00DF448F"/>
    <w:rsid w:val="00DF4D6F"/>
    <w:rsid w:val="00DF6761"/>
    <w:rsid w:val="00DF6882"/>
    <w:rsid w:val="00DF78DD"/>
    <w:rsid w:val="00DF7CE1"/>
    <w:rsid w:val="00E012F1"/>
    <w:rsid w:val="00E0155A"/>
    <w:rsid w:val="00E01DF7"/>
    <w:rsid w:val="00E03FEF"/>
    <w:rsid w:val="00E041EE"/>
    <w:rsid w:val="00E042E9"/>
    <w:rsid w:val="00E04397"/>
    <w:rsid w:val="00E05003"/>
    <w:rsid w:val="00E06DA9"/>
    <w:rsid w:val="00E07B0C"/>
    <w:rsid w:val="00E1011F"/>
    <w:rsid w:val="00E118B3"/>
    <w:rsid w:val="00E120C3"/>
    <w:rsid w:val="00E12C16"/>
    <w:rsid w:val="00E13275"/>
    <w:rsid w:val="00E1354E"/>
    <w:rsid w:val="00E135BB"/>
    <w:rsid w:val="00E13AD0"/>
    <w:rsid w:val="00E13F23"/>
    <w:rsid w:val="00E14605"/>
    <w:rsid w:val="00E14A14"/>
    <w:rsid w:val="00E15AF2"/>
    <w:rsid w:val="00E15DDB"/>
    <w:rsid w:val="00E16726"/>
    <w:rsid w:val="00E16E3A"/>
    <w:rsid w:val="00E16F4F"/>
    <w:rsid w:val="00E17A41"/>
    <w:rsid w:val="00E22F76"/>
    <w:rsid w:val="00E24D77"/>
    <w:rsid w:val="00E254E7"/>
    <w:rsid w:val="00E26789"/>
    <w:rsid w:val="00E27BD2"/>
    <w:rsid w:val="00E304D8"/>
    <w:rsid w:val="00E31834"/>
    <w:rsid w:val="00E31A85"/>
    <w:rsid w:val="00E31C66"/>
    <w:rsid w:val="00E31FFD"/>
    <w:rsid w:val="00E32083"/>
    <w:rsid w:val="00E32E1F"/>
    <w:rsid w:val="00E32EC8"/>
    <w:rsid w:val="00E3362D"/>
    <w:rsid w:val="00E33C34"/>
    <w:rsid w:val="00E3496D"/>
    <w:rsid w:val="00E35EFA"/>
    <w:rsid w:val="00E36605"/>
    <w:rsid w:val="00E36AF2"/>
    <w:rsid w:val="00E37E4A"/>
    <w:rsid w:val="00E4009F"/>
    <w:rsid w:val="00E4044B"/>
    <w:rsid w:val="00E40C4B"/>
    <w:rsid w:val="00E41A0D"/>
    <w:rsid w:val="00E42AAF"/>
    <w:rsid w:val="00E434D5"/>
    <w:rsid w:val="00E44355"/>
    <w:rsid w:val="00E4468E"/>
    <w:rsid w:val="00E44A7E"/>
    <w:rsid w:val="00E45246"/>
    <w:rsid w:val="00E45AEC"/>
    <w:rsid w:val="00E45F01"/>
    <w:rsid w:val="00E46124"/>
    <w:rsid w:val="00E46ED3"/>
    <w:rsid w:val="00E47CCC"/>
    <w:rsid w:val="00E500B1"/>
    <w:rsid w:val="00E50918"/>
    <w:rsid w:val="00E5130E"/>
    <w:rsid w:val="00E53F54"/>
    <w:rsid w:val="00E5736B"/>
    <w:rsid w:val="00E60A26"/>
    <w:rsid w:val="00E60BCC"/>
    <w:rsid w:val="00E60D8B"/>
    <w:rsid w:val="00E62370"/>
    <w:rsid w:val="00E66459"/>
    <w:rsid w:val="00E667B0"/>
    <w:rsid w:val="00E66FF9"/>
    <w:rsid w:val="00E67BE1"/>
    <w:rsid w:val="00E70002"/>
    <w:rsid w:val="00E725CD"/>
    <w:rsid w:val="00E74229"/>
    <w:rsid w:val="00E74762"/>
    <w:rsid w:val="00E74FC7"/>
    <w:rsid w:val="00E75147"/>
    <w:rsid w:val="00E76117"/>
    <w:rsid w:val="00E76579"/>
    <w:rsid w:val="00E775DA"/>
    <w:rsid w:val="00E77858"/>
    <w:rsid w:val="00E8000F"/>
    <w:rsid w:val="00E80E2F"/>
    <w:rsid w:val="00E82C1C"/>
    <w:rsid w:val="00E83649"/>
    <w:rsid w:val="00E8525B"/>
    <w:rsid w:val="00E85BCB"/>
    <w:rsid w:val="00E85E45"/>
    <w:rsid w:val="00E85FBA"/>
    <w:rsid w:val="00E86A06"/>
    <w:rsid w:val="00E87B06"/>
    <w:rsid w:val="00E901F4"/>
    <w:rsid w:val="00E9023E"/>
    <w:rsid w:val="00E92C65"/>
    <w:rsid w:val="00E94180"/>
    <w:rsid w:val="00E95C17"/>
    <w:rsid w:val="00E96089"/>
    <w:rsid w:val="00E96381"/>
    <w:rsid w:val="00E97014"/>
    <w:rsid w:val="00E97561"/>
    <w:rsid w:val="00EA0E5F"/>
    <w:rsid w:val="00EA3003"/>
    <w:rsid w:val="00EA43D8"/>
    <w:rsid w:val="00EA4D05"/>
    <w:rsid w:val="00EA678B"/>
    <w:rsid w:val="00EA679B"/>
    <w:rsid w:val="00EB1255"/>
    <w:rsid w:val="00EB2B97"/>
    <w:rsid w:val="00EB5234"/>
    <w:rsid w:val="00EB63D2"/>
    <w:rsid w:val="00EB6B22"/>
    <w:rsid w:val="00EB6B6E"/>
    <w:rsid w:val="00EB6E75"/>
    <w:rsid w:val="00EB785D"/>
    <w:rsid w:val="00EC0475"/>
    <w:rsid w:val="00EC3405"/>
    <w:rsid w:val="00EC3835"/>
    <w:rsid w:val="00EC4DA4"/>
    <w:rsid w:val="00EC5BF6"/>
    <w:rsid w:val="00EC6449"/>
    <w:rsid w:val="00EC69D2"/>
    <w:rsid w:val="00EC7254"/>
    <w:rsid w:val="00EC75FE"/>
    <w:rsid w:val="00ED0427"/>
    <w:rsid w:val="00ED200D"/>
    <w:rsid w:val="00ED3009"/>
    <w:rsid w:val="00ED30B9"/>
    <w:rsid w:val="00ED3616"/>
    <w:rsid w:val="00ED47ED"/>
    <w:rsid w:val="00ED4EE4"/>
    <w:rsid w:val="00ED6409"/>
    <w:rsid w:val="00EE32B3"/>
    <w:rsid w:val="00EE4366"/>
    <w:rsid w:val="00EE46B2"/>
    <w:rsid w:val="00EE4A12"/>
    <w:rsid w:val="00EE4BA1"/>
    <w:rsid w:val="00EE69F9"/>
    <w:rsid w:val="00EE6BAB"/>
    <w:rsid w:val="00EE7549"/>
    <w:rsid w:val="00EE7FF3"/>
    <w:rsid w:val="00EF0883"/>
    <w:rsid w:val="00EF0DA5"/>
    <w:rsid w:val="00EF12A0"/>
    <w:rsid w:val="00EF17D1"/>
    <w:rsid w:val="00EF284E"/>
    <w:rsid w:val="00EF31E6"/>
    <w:rsid w:val="00EF3370"/>
    <w:rsid w:val="00EF37E6"/>
    <w:rsid w:val="00EF3E9C"/>
    <w:rsid w:val="00EF429E"/>
    <w:rsid w:val="00EF4F76"/>
    <w:rsid w:val="00F00530"/>
    <w:rsid w:val="00F00B03"/>
    <w:rsid w:val="00F01959"/>
    <w:rsid w:val="00F02F07"/>
    <w:rsid w:val="00F05EEE"/>
    <w:rsid w:val="00F06B21"/>
    <w:rsid w:val="00F0700B"/>
    <w:rsid w:val="00F070B6"/>
    <w:rsid w:val="00F072C7"/>
    <w:rsid w:val="00F10B30"/>
    <w:rsid w:val="00F10D0A"/>
    <w:rsid w:val="00F1184B"/>
    <w:rsid w:val="00F1261D"/>
    <w:rsid w:val="00F12F18"/>
    <w:rsid w:val="00F132F5"/>
    <w:rsid w:val="00F13E98"/>
    <w:rsid w:val="00F142DB"/>
    <w:rsid w:val="00F1595A"/>
    <w:rsid w:val="00F21613"/>
    <w:rsid w:val="00F228E3"/>
    <w:rsid w:val="00F23153"/>
    <w:rsid w:val="00F246D4"/>
    <w:rsid w:val="00F250A6"/>
    <w:rsid w:val="00F258B1"/>
    <w:rsid w:val="00F25916"/>
    <w:rsid w:val="00F259A5"/>
    <w:rsid w:val="00F25D76"/>
    <w:rsid w:val="00F2609C"/>
    <w:rsid w:val="00F264CC"/>
    <w:rsid w:val="00F26DEC"/>
    <w:rsid w:val="00F31E9C"/>
    <w:rsid w:val="00F328DC"/>
    <w:rsid w:val="00F32F95"/>
    <w:rsid w:val="00F34E71"/>
    <w:rsid w:val="00F35A2E"/>
    <w:rsid w:val="00F35F19"/>
    <w:rsid w:val="00F36746"/>
    <w:rsid w:val="00F36F35"/>
    <w:rsid w:val="00F37FC0"/>
    <w:rsid w:val="00F40D78"/>
    <w:rsid w:val="00F434E8"/>
    <w:rsid w:val="00F437C1"/>
    <w:rsid w:val="00F43D1A"/>
    <w:rsid w:val="00F46601"/>
    <w:rsid w:val="00F46C36"/>
    <w:rsid w:val="00F46D2E"/>
    <w:rsid w:val="00F4724F"/>
    <w:rsid w:val="00F50308"/>
    <w:rsid w:val="00F51BCA"/>
    <w:rsid w:val="00F52ED8"/>
    <w:rsid w:val="00F5478A"/>
    <w:rsid w:val="00F54CEF"/>
    <w:rsid w:val="00F56118"/>
    <w:rsid w:val="00F566BA"/>
    <w:rsid w:val="00F5699A"/>
    <w:rsid w:val="00F56F26"/>
    <w:rsid w:val="00F616B4"/>
    <w:rsid w:val="00F618BA"/>
    <w:rsid w:val="00F6320F"/>
    <w:rsid w:val="00F63276"/>
    <w:rsid w:val="00F635DE"/>
    <w:rsid w:val="00F65126"/>
    <w:rsid w:val="00F66260"/>
    <w:rsid w:val="00F663AB"/>
    <w:rsid w:val="00F67326"/>
    <w:rsid w:val="00F67EBC"/>
    <w:rsid w:val="00F70944"/>
    <w:rsid w:val="00F71532"/>
    <w:rsid w:val="00F721A6"/>
    <w:rsid w:val="00F72CAE"/>
    <w:rsid w:val="00F7506D"/>
    <w:rsid w:val="00F7640A"/>
    <w:rsid w:val="00F81E49"/>
    <w:rsid w:val="00F823B3"/>
    <w:rsid w:val="00F82DA4"/>
    <w:rsid w:val="00F82DDA"/>
    <w:rsid w:val="00F846BB"/>
    <w:rsid w:val="00F879D6"/>
    <w:rsid w:val="00F879FD"/>
    <w:rsid w:val="00F900D9"/>
    <w:rsid w:val="00F91491"/>
    <w:rsid w:val="00F917D1"/>
    <w:rsid w:val="00F91869"/>
    <w:rsid w:val="00F93A14"/>
    <w:rsid w:val="00F94776"/>
    <w:rsid w:val="00F94826"/>
    <w:rsid w:val="00F951AC"/>
    <w:rsid w:val="00F95768"/>
    <w:rsid w:val="00F96822"/>
    <w:rsid w:val="00F97036"/>
    <w:rsid w:val="00FA0550"/>
    <w:rsid w:val="00FA14A6"/>
    <w:rsid w:val="00FA31B2"/>
    <w:rsid w:val="00FA4A93"/>
    <w:rsid w:val="00FA52AB"/>
    <w:rsid w:val="00FA5A16"/>
    <w:rsid w:val="00FA5AEA"/>
    <w:rsid w:val="00FA6016"/>
    <w:rsid w:val="00FA63EC"/>
    <w:rsid w:val="00FA6C82"/>
    <w:rsid w:val="00FA796C"/>
    <w:rsid w:val="00FB0474"/>
    <w:rsid w:val="00FB0F20"/>
    <w:rsid w:val="00FB11F7"/>
    <w:rsid w:val="00FB14C6"/>
    <w:rsid w:val="00FB1B2A"/>
    <w:rsid w:val="00FB242D"/>
    <w:rsid w:val="00FB260C"/>
    <w:rsid w:val="00FB2EEF"/>
    <w:rsid w:val="00FB7CA6"/>
    <w:rsid w:val="00FC0475"/>
    <w:rsid w:val="00FC10AB"/>
    <w:rsid w:val="00FC1B7B"/>
    <w:rsid w:val="00FC1C55"/>
    <w:rsid w:val="00FC30D2"/>
    <w:rsid w:val="00FC4363"/>
    <w:rsid w:val="00FC47E6"/>
    <w:rsid w:val="00FC623A"/>
    <w:rsid w:val="00FC6BAB"/>
    <w:rsid w:val="00FD089E"/>
    <w:rsid w:val="00FD1A54"/>
    <w:rsid w:val="00FD3D2C"/>
    <w:rsid w:val="00FD3EE4"/>
    <w:rsid w:val="00FD5283"/>
    <w:rsid w:val="00FD5470"/>
    <w:rsid w:val="00FD592E"/>
    <w:rsid w:val="00FD743E"/>
    <w:rsid w:val="00FD7C91"/>
    <w:rsid w:val="00FE08F8"/>
    <w:rsid w:val="00FE0EC0"/>
    <w:rsid w:val="00FE1356"/>
    <w:rsid w:val="00FE2A83"/>
    <w:rsid w:val="00FE33FD"/>
    <w:rsid w:val="00FE437A"/>
    <w:rsid w:val="00FE4714"/>
    <w:rsid w:val="00FE485E"/>
    <w:rsid w:val="00FE5504"/>
    <w:rsid w:val="00FE5E40"/>
    <w:rsid w:val="00FF0347"/>
    <w:rsid w:val="00FF0CBD"/>
    <w:rsid w:val="00FF10DE"/>
    <w:rsid w:val="00FF23FD"/>
    <w:rsid w:val="00FF28FD"/>
    <w:rsid w:val="00FF2CFC"/>
    <w:rsid w:val="00FF2E5C"/>
    <w:rsid w:val="00FF3CE4"/>
    <w:rsid w:val="00FF505E"/>
    <w:rsid w:val="00FF5941"/>
    <w:rsid w:val="00FF7003"/>
    <w:rsid w:val="00FF71A1"/>
    <w:rsid w:val="00FF777C"/>
    <w:rsid w:val="00FF7DE5"/>
    <w:rsid w:val="01C718F5"/>
    <w:rsid w:val="05152E7B"/>
    <w:rsid w:val="06295C01"/>
    <w:rsid w:val="0967543A"/>
    <w:rsid w:val="09B24387"/>
    <w:rsid w:val="0AE63D12"/>
    <w:rsid w:val="0E62731E"/>
    <w:rsid w:val="0FF664CB"/>
    <w:rsid w:val="11213388"/>
    <w:rsid w:val="12CB2F77"/>
    <w:rsid w:val="1A7F1D0F"/>
    <w:rsid w:val="1BA857E7"/>
    <w:rsid w:val="1DFD0BA7"/>
    <w:rsid w:val="1F66422D"/>
    <w:rsid w:val="22F643D4"/>
    <w:rsid w:val="2B353C5A"/>
    <w:rsid w:val="2EC34E20"/>
    <w:rsid w:val="2FD96ECB"/>
    <w:rsid w:val="304961BF"/>
    <w:rsid w:val="30ED067F"/>
    <w:rsid w:val="31E35021"/>
    <w:rsid w:val="3271729C"/>
    <w:rsid w:val="33E32EEC"/>
    <w:rsid w:val="3551519A"/>
    <w:rsid w:val="373F60F4"/>
    <w:rsid w:val="391C7C5E"/>
    <w:rsid w:val="39D75C0D"/>
    <w:rsid w:val="3B25486B"/>
    <w:rsid w:val="3C4F2499"/>
    <w:rsid w:val="3EB26AE3"/>
    <w:rsid w:val="3F2A4C0E"/>
    <w:rsid w:val="3FB9024D"/>
    <w:rsid w:val="44CB5EBA"/>
    <w:rsid w:val="46282A69"/>
    <w:rsid w:val="46926CCF"/>
    <w:rsid w:val="49864645"/>
    <w:rsid w:val="4A817AD0"/>
    <w:rsid w:val="4AB626F8"/>
    <w:rsid w:val="4AC2601B"/>
    <w:rsid w:val="4B017A76"/>
    <w:rsid w:val="53BF220A"/>
    <w:rsid w:val="55464AB0"/>
    <w:rsid w:val="56145C7E"/>
    <w:rsid w:val="56283C57"/>
    <w:rsid w:val="59073243"/>
    <w:rsid w:val="5A3932BE"/>
    <w:rsid w:val="5AD63E70"/>
    <w:rsid w:val="5C4253A0"/>
    <w:rsid w:val="629378A6"/>
    <w:rsid w:val="639C7697"/>
    <w:rsid w:val="63E90553"/>
    <w:rsid w:val="63F626D8"/>
    <w:rsid w:val="642326D0"/>
    <w:rsid w:val="646D5A7A"/>
    <w:rsid w:val="64AA33DA"/>
    <w:rsid w:val="6879393C"/>
    <w:rsid w:val="68A93BA2"/>
    <w:rsid w:val="6A1951AC"/>
    <w:rsid w:val="6A357B87"/>
    <w:rsid w:val="6C6E3414"/>
    <w:rsid w:val="6E656668"/>
    <w:rsid w:val="6F677EEC"/>
    <w:rsid w:val="74144D4E"/>
    <w:rsid w:val="74231D24"/>
    <w:rsid w:val="74257DF9"/>
    <w:rsid w:val="75FB6FEC"/>
    <w:rsid w:val="792C78B4"/>
    <w:rsid w:val="7A34109D"/>
    <w:rsid w:val="7FA9221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qFormat="1" w:uiPriority="0" w:semiHidden="0"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200" w:firstLineChars="200"/>
      <w:jc w:val="both"/>
    </w:pPr>
    <w:rPr>
      <w:rFonts w:ascii="Times New Roman" w:hAnsi="Times New Roman" w:eastAsia="宋体" w:cstheme="minorBidi"/>
      <w:kern w:val="2"/>
      <w:szCs w:val="22"/>
      <w:lang w:val="en-US" w:eastAsia="zh-CN" w:bidi="ar-SA"/>
    </w:rPr>
  </w:style>
  <w:style w:type="paragraph" w:styleId="2">
    <w:name w:val="heading 1"/>
    <w:basedOn w:val="1"/>
    <w:next w:val="3"/>
    <w:link w:val="21"/>
    <w:qFormat/>
    <w:uiPriority w:val="0"/>
    <w:pPr>
      <w:keepNext/>
      <w:keepLines/>
      <w:numPr>
        <w:ilvl w:val="0"/>
        <w:numId w:val="1"/>
      </w:numPr>
      <w:tabs>
        <w:tab w:val="left" w:pos="709"/>
      </w:tabs>
      <w:spacing w:after="163"/>
      <w:jc w:val="left"/>
      <w:outlineLvl w:val="0"/>
    </w:pPr>
    <w:rPr>
      <w:rFonts w:ascii="宋体" w:hAnsi="宋体" w:cs="Arial"/>
      <w:b/>
      <w:caps/>
      <w:kern w:val="44"/>
      <w:sz w:val="24"/>
      <w:szCs w:val="24"/>
    </w:rPr>
  </w:style>
  <w:style w:type="paragraph" w:styleId="5">
    <w:name w:val="heading 2"/>
    <w:basedOn w:val="2"/>
    <w:next w:val="3"/>
    <w:link w:val="22"/>
    <w:qFormat/>
    <w:uiPriority w:val="0"/>
    <w:pPr>
      <w:numPr>
        <w:ilvl w:val="1"/>
      </w:numPr>
      <w:spacing w:beforeLines="50"/>
      <w:outlineLvl w:val="1"/>
    </w:pPr>
  </w:style>
  <w:style w:type="paragraph" w:styleId="6">
    <w:name w:val="heading 3"/>
    <w:basedOn w:val="5"/>
    <w:next w:val="7"/>
    <w:link w:val="23"/>
    <w:qFormat/>
    <w:uiPriority w:val="0"/>
    <w:pPr>
      <w:numPr>
        <w:ilvl w:val="2"/>
      </w:numPr>
      <w:outlineLvl w:val="2"/>
    </w:p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3">
    <w:name w:val="Body Text First Indent 2"/>
    <w:basedOn w:val="4"/>
    <w:link w:val="26"/>
    <w:unhideWhenUsed/>
    <w:qFormat/>
    <w:uiPriority w:val="99"/>
    <w:pPr>
      <w:ind w:firstLine="420"/>
    </w:pPr>
  </w:style>
  <w:style w:type="paragraph" w:styleId="4">
    <w:name w:val="Body Text Indent"/>
    <w:basedOn w:val="1"/>
    <w:link w:val="25"/>
    <w:semiHidden/>
    <w:unhideWhenUsed/>
    <w:qFormat/>
    <w:uiPriority w:val="99"/>
    <w:pPr>
      <w:spacing w:after="120"/>
      <w:ind w:left="420" w:leftChars="200"/>
    </w:pPr>
  </w:style>
  <w:style w:type="paragraph" w:styleId="7">
    <w:name w:val="Normal Indent"/>
    <w:basedOn w:val="1"/>
    <w:semiHidden/>
    <w:unhideWhenUsed/>
    <w:qFormat/>
    <w:uiPriority w:val="99"/>
    <w:pPr>
      <w:ind w:firstLine="420"/>
    </w:pPr>
  </w:style>
  <w:style w:type="paragraph" w:styleId="8">
    <w:name w:val="caption"/>
    <w:basedOn w:val="1"/>
    <w:next w:val="1"/>
    <w:link w:val="39"/>
    <w:unhideWhenUsed/>
    <w:qFormat/>
    <w:uiPriority w:val="0"/>
    <w:rPr>
      <w:rFonts w:eastAsia="黑体" w:asciiTheme="majorHAnsi" w:hAnsiTheme="majorHAnsi" w:cstheme="majorBidi"/>
      <w:szCs w:val="20"/>
    </w:rPr>
  </w:style>
  <w:style w:type="paragraph" w:styleId="9">
    <w:name w:val="Document Map"/>
    <w:basedOn w:val="1"/>
    <w:link w:val="24"/>
    <w:unhideWhenUsed/>
    <w:qFormat/>
    <w:uiPriority w:val="0"/>
    <w:pPr>
      <w:widowControl/>
      <w:jc w:val="left"/>
    </w:pPr>
    <w:rPr>
      <w:rFonts w:ascii="宋体" w:hAnsi="宋体" w:cs="宋体"/>
      <w:kern w:val="0"/>
      <w:sz w:val="18"/>
      <w:szCs w:val="18"/>
    </w:rPr>
  </w:style>
  <w:style w:type="paragraph" w:styleId="10">
    <w:name w:val="annotation text"/>
    <w:basedOn w:val="1"/>
    <w:link w:val="36"/>
    <w:semiHidden/>
    <w:unhideWhenUsed/>
    <w:qFormat/>
    <w:uiPriority w:val="99"/>
    <w:pPr>
      <w:jc w:val="left"/>
    </w:pPr>
  </w:style>
  <w:style w:type="paragraph" w:styleId="11">
    <w:name w:val="Balloon Text"/>
    <w:basedOn w:val="1"/>
    <w:link w:val="38"/>
    <w:semiHidden/>
    <w:unhideWhenUsed/>
    <w:qFormat/>
    <w:uiPriority w:val="99"/>
    <w:rPr>
      <w:sz w:val="18"/>
      <w:szCs w:val="18"/>
    </w:rPr>
  </w:style>
  <w:style w:type="paragraph" w:styleId="12">
    <w:name w:val="footer"/>
    <w:basedOn w:val="1"/>
    <w:link w:val="20"/>
    <w:unhideWhenUsed/>
    <w:qFormat/>
    <w:uiPriority w:val="99"/>
    <w:pPr>
      <w:tabs>
        <w:tab w:val="center" w:pos="4153"/>
        <w:tab w:val="right" w:pos="8306"/>
      </w:tabs>
      <w:snapToGrid w:val="0"/>
      <w:jc w:val="left"/>
    </w:pPr>
    <w:rPr>
      <w:sz w:val="18"/>
      <w:szCs w:val="18"/>
    </w:rPr>
  </w:style>
  <w:style w:type="paragraph" w:styleId="13">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annotation subject"/>
    <w:basedOn w:val="10"/>
    <w:next w:val="10"/>
    <w:link w:val="37"/>
    <w:semiHidden/>
    <w:unhideWhenUsed/>
    <w:qFormat/>
    <w:uiPriority w:val="99"/>
    <w:rPr>
      <w:b/>
      <w:bCs/>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annotation reference"/>
    <w:basedOn w:val="17"/>
    <w:semiHidden/>
    <w:unhideWhenUsed/>
    <w:qFormat/>
    <w:uiPriority w:val="99"/>
    <w:rPr>
      <w:sz w:val="21"/>
      <w:szCs w:val="21"/>
    </w:rPr>
  </w:style>
  <w:style w:type="character" w:customStyle="1" w:styleId="19">
    <w:name w:val="页眉 Char"/>
    <w:basedOn w:val="17"/>
    <w:link w:val="13"/>
    <w:qFormat/>
    <w:uiPriority w:val="99"/>
    <w:rPr>
      <w:sz w:val="18"/>
      <w:szCs w:val="18"/>
    </w:rPr>
  </w:style>
  <w:style w:type="character" w:customStyle="1" w:styleId="20">
    <w:name w:val="页脚 Char"/>
    <w:basedOn w:val="17"/>
    <w:link w:val="12"/>
    <w:qFormat/>
    <w:uiPriority w:val="99"/>
    <w:rPr>
      <w:sz w:val="18"/>
      <w:szCs w:val="18"/>
    </w:rPr>
  </w:style>
  <w:style w:type="character" w:customStyle="1" w:styleId="21">
    <w:name w:val="标题 1 Char"/>
    <w:basedOn w:val="17"/>
    <w:link w:val="2"/>
    <w:qFormat/>
    <w:uiPriority w:val="0"/>
    <w:rPr>
      <w:rFonts w:ascii="宋体" w:hAnsi="宋体" w:eastAsia="宋体" w:cs="Arial"/>
      <w:b/>
      <w:caps/>
      <w:kern w:val="44"/>
      <w:sz w:val="24"/>
      <w:szCs w:val="24"/>
    </w:rPr>
  </w:style>
  <w:style w:type="character" w:customStyle="1" w:styleId="22">
    <w:name w:val="标题 2 Char"/>
    <w:basedOn w:val="17"/>
    <w:link w:val="5"/>
    <w:qFormat/>
    <w:uiPriority w:val="0"/>
    <w:rPr>
      <w:rFonts w:ascii="宋体" w:hAnsi="宋体" w:eastAsia="宋体" w:cs="Arial"/>
      <w:b/>
      <w:caps/>
      <w:kern w:val="44"/>
      <w:sz w:val="24"/>
      <w:szCs w:val="24"/>
    </w:rPr>
  </w:style>
  <w:style w:type="character" w:customStyle="1" w:styleId="23">
    <w:name w:val="标题 3 Char"/>
    <w:basedOn w:val="17"/>
    <w:link w:val="6"/>
    <w:qFormat/>
    <w:uiPriority w:val="0"/>
    <w:rPr>
      <w:rFonts w:ascii="宋体" w:hAnsi="宋体" w:eastAsia="宋体" w:cs="Arial"/>
      <w:b/>
      <w:caps/>
      <w:kern w:val="44"/>
      <w:sz w:val="24"/>
      <w:szCs w:val="24"/>
    </w:rPr>
  </w:style>
  <w:style w:type="character" w:customStyle="1" w:styleId="24">
    <w:name w:val="文档结构图 Char"/>
    <w:basedOn w:val="17"/>
    <w:link w:val="9"/>
    <w:qFormat/>
    <w:uiPriority w:val="0"/>
    <w:rPr>
      <w:rFonts w:ascii="宋体" w:hAnsi="宋体" w:eastAsia="宋体" w:cs="宋体"/>
      <w:kern w:val="0"/>
      <w:sz w:val="18"/>
      <w:szCs w:val="18"/>
    </w:rPr>
  </w:style>
  <w:style w:type="character" w:customStyle="1" w:styleId="25">
    <w:name w:val="正文文本缩进 Char"/>
    <w:basedOn w:val="17"/>
    <w:link w:val="4"/>
    <w:semiHidden/>
    <w:qFormat/>
    <w:uiPriority w:val="99"/>
  </w:style>
  <w:style w:type="character" w:customStyle="1" w:styleId="26">
    <w:name w:val="正文首行缩进 2 Char"/>
    <w:basedOn w:val="25"/>
    <w:link w:val="3"/>
    <w:qFormat/>
    <w:uiPriority w:val="99"/>
  </w:style>
  <w:style w:type="character" w:styleId="27">
    <w:name w:val="Placeholder Text"/>
    <w:basedOn w:val="17"/>
    <w:semiHidden/>
    <w:qFormat/>
    <w:uiPriority w:val="99"/>
    <w:rPr>
      <w:color w:val="808080"/>
    </w:rPr>
  </w:style>
  <w:style w:type="paragraph" w:customStyle="1" w:styleId="28">
    <w:name w:val="图-表"/>
    <w:basedOn w:val="1"/>
    <w:link w:val="29"/>
    <w:qFormat/>
    <w:uiPriority w:val="0"/>
    <w:pPr>
      <w:ind w:firstLine="0" w:firstLineChars="0"/>
      <w:jc w:val="center"/>
    </w:pPr>
    <w:rPr>
      <w:b/>
      <w:bCs/>
      <w:szCs w:val="21"/>
    </w:rPr>
  </w:style>
  <w:style w:type="character" w:customStyle="1" w:styleId="29">
    <w:name w:val="图-表 字符"/>
    <w:basedOn w:val="17"/>
    <w:link w:val="28"/>
    <w:qFormat/>
    <w:uiPriority w:val="0"/>
    <w:rPr>
      <w:rFonts w:ascii="Times New Roman" w:hAnsi="Times New Roman" w:eastAsia="宋体"/>
      <w:b/>
      <w:bCs/>
      <w:kern w:val="2"/>
      <w:szCs w:val="21"/>
    </w:rPr>
  </w:style>
  <w:style w:type="paragraph" w:customStyle="1" w:styleId="30">
    <w:name w:val="图表内容"/>
    <w:basedOn w:val="1"/>
    <w:link w:val="31"/>
    <w:qFormat/>
    <w:uiPriority w:val="0"/>
    <w:pPr>
      <w:jc w:val="center"/>
    </w:pPr>
    <w:rPr>
      <w:sz w:val="24"/>
    </w:rPr>
  </w:style>
  <w:style w:type="character" w:customStyle="1" w:styleId="31">
    <w:name w:val="图表内容 字符"/>
    <w:basedOn w:val="17"/>
    <w:link w:val="30"/>
    <w:qFormat/>
    <w:uiPriority w:val="0"/>
    <w:rPr>
      <w:rFonts w:ascii="Times New Roman" w:hAnsi="Times New Roman" w:eastAsia="宋体"/>
      <w:sz w:val="24"/>
    </w:rPr>
  </w:style>
  <w:style w:type="table" w:customStyle="1" w:styleId="32">
    <w:name w:val="网格型19"/>
    <w:basedOn w:val="15"/>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3">
    <w:name w:val="font01"/>
    <w:basedOn w:val="17"/>
    <w:qFormat/>
    <w:uiPriority w:val="0"/>
    <w:rPr>
      <w:rFonts w:hint="eastAsia" w:ascii="宋体" w:hAnsi="宋体" w:eastAsia="宋体"/>
      <w:color w:val="000000"/>
      <w:sz w:val="15"/>
      <w:szCs w:val="15"/>
      <w:u w:val="none"/>
    </w:rPr>
  </w:style>
  <w:style w:type="character" w:customStyle="1" w:styleId="34">
    <w:name w:val="font11"/>
    <w:basedOn w:val="17"/>
    <w:qFormat/>
    <w:uiPriority w:val="0"/>
    <w:rPr>
      <w:rFonts w:hint="eastAsia" w:ascii="等线" w:hAnsi="等线" w:eastAsia="等线"/>
      <w:color w:val="000000"/>
      <w:sz w:val="15"/>
      <w:szCs w:val="15"/>
      <w:u w:val="none"/>
    </w:rPr>
  </w:style>
  <w:style w:type="paragraph" w:styleId="35">
    <w:name w:val="List Paragraph"/>
    <w:basedOn w:val="1"/>
    <w:link w:val="47"/>
    <w:qFormat/>
    <w:uiPriority w:val="34"/>
    <w:pPr>
      <w:ind w:firstLine="420"/>
    </w:pPr>
  </w:style>
  <w:style w:type="character" w:customStyle="1" w:styleId="36">
    <w:name w:val="批注文字 Char"/>
    <w:basedOn w:val="17"/>
    <w:link w:val="10"/>
    <w:semiHidden/>
    <w:qFormat/>
    <w:uiPriority w:val="99"/>
  </w:style>
  <w:style w:type="character" w:customStyle="1" w:styleId="37">
    <w:name w:val="批注主题 Char"/>
    <w:basedOn w:val="36"/>
    <w:link w:val="14"/>
    <w:semiHidden/>
    <w:qFormat/>
    <w:uiPriority w:val="99"/>
    <w:rPr>
      <w:b/>
      <w:bCs/>
    </w:rPr>
  </w:style>
  <w:style w:type="character" w:customStyle="1" w:styleId="38">
    <w:name w:val="批注框文本 Char"/>
    <w:basedOn w:val="17"/>
    <w:link w:val="11"/>
    <w:semiHidden/>
    <w:qFormat/>
    <w:uiPriority w:val="99"/>
    <w:rPr>
      <w:sz w:val="18"/>
      <w:szCs w:val="18"/>
    </w:rPr>
  </w:style>
  <w:style w:type="character" w:customStyle="1" w:styleId="39">
    <w:name w:val="题注 Char"/>
    <w:link w:val="8"/>
    <w:qFormat/>
    <w:uiPriority w:val="0"/>
    <w:rPr>
      <w:rFonts w:eastAsia="黑体" w:asciiTheme="majorHAnsi" w:hAnsiTheme="majorHAnsi" w:cstheme="majorBidi"/>
      <w:sz w:val="20"/>
      <w:szCs w:val="20"/>
    </w:rPr>
  </w:style>
  <w:style w:type="paragraph" w:customStyle="1" w:styleId="40">
    <w:name w:val="样式 题注yz表 + 小四"/>
    <w:basedOn w:val="8"/>
    <w:link w:val="41"/>
    <w:qFormat/>
    <w:uiPriority w:val="0"/>
    <w:pPr>
      <w:tabs>
        <w:tab w:val="center" w:pos="4410"/>
        <w:tab w:val="right" w:pos="8820"/>
      </w:tabs>
      <w:jc w:val="center"/>
    </w:pPr>
    <w:rPr>
      <w:rFonts w:ascii="宋体" w:hAnsi="宋体" w:eastAsia="宋体" w:cs="Times New Roman"/>
      <w:sz w:val="18"/>
      <w:szCs w:val="18"/>
      <w:lang w:val="zh-CN"/>
    </w:rPr>
  </w:style>
  <w:style w:type="character" w:customStyle="1" w:styleId="41">
    <w:name w:val="样式 题注yz表 + 小四 Char"/>
    <w:basedOn w:val="39"/>
    <w:link w:val="40"/>
    <w:qFormat/>
    <w:uiPriority w:val="0"/>
    <w:rPr>
      <w:rFonts w:ascii="宋体" w:hAnsi="宋体" w:eastAsia="宋体" w:cs="Times New Roman"/>
      <w:sz w:val="18"/>
      <w:szCs w:val="18"/>
      <w:lang w:val="zh-CN" w:eastAsia="zh-CN"/>
    </w:rPr>
  </w:style>
  <w:style w:type="paragraph" w:customStyle="1" w:styleId="42">
    <w:name w:val="图片格式"/>
    <w:basedOn w:val="1"/>
    <w:link w:val="43"/>
    <w:qFormat/>
    <w:uiPriority w:val="0"/>
    <w:pPr>
      <w:ind w:firstLine="0" w:firstLineChars="0"/>
      <w:jc w:val="center"/>
    </w:pPr>
    <w:rPr>
      <w:rFonts w:cs="Times New Roman"/>
      <w:sz w:val="24"/>
    </w:rPr>
  </w:style>
  <w:style w:type="character" w:customStyle="1" w:styleId="43">
    <w:name w:val="图片格式 Char"/>
    <w:link w:val="42"/>
    <w:qFormat/>
    <w:uiPriority w:val="0"/>
    <w:rPr>
      <w:rFonts w:ascii="Times New Roman" w:hAnsi="Times New Roman" w:eastAsia="宋体" w:cs="Times New Roman"/>
      <w:kern w:val="2"/>
      <w:sz w:val="24"/>
      <w:szCs w:val="22"/>
    </w:rPr>
  </w:style>
  <w:style w:type="table" w:customStyle="1" w:styleId="44">
    <w:name w:val="网格型1"/>
    <w:basedOn w:val="15"/>
    <w:qFormat/>
    <w:uiPriority w:val="3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5">
    <w:name w:val="表格内容"/>
    <w:basedOn w:val="1"/>
    <w:link w:val="46"/>
    <w:qFormat/>
    <w:uiPriority w:val="0"/>
    <w:pPr>
      <w:adjustRightInd w:val="0"/>
      <w:ind w:firstLine="0" w:firstLineChars="0"/>
      <w:jc w:val="center"/>
    </w:pPr>
    <w:rPr>
      <w:rFonts w:cs="Times New Roman"/>
      <w:sz w:val="21"/>
      <w:szCs w:val="24"/>
    </w:rPr>
  </w:style>
  <w:style w:type="character" w:customStyle="1" w:styleId="46">
    <w:name w:val="表格内容 字符"/>
    <w:basedOn w:val="17"/>
    <w:link w:val="45"/>
    <w:uiPriority w:val="0"/>
    <w:rPr>
      <w:rFonts w:ascii="Times New Roman" w:hAnsi="Times New Roman" w:eastAsia="宋体" w:cs="Times New Roman"/>
      <w:kern w:val="2"/>
      <w:sz w:val="21"/>
      <w:szCs w:val="24"/>
    </w:rPr>
  </w:style>
  <w:style w:type="character" w:customStyle="1" w:styleId="47">
    <w:name w:val="列出段落 Char"/>
    <w:link w:val="35"/>
    <w:qFormat/>
    <w:locked/>
    <w:uiPriority w:val="34"/>
    <w:rPr>
      <w:rFonts w:ascii="Times New Roman" w:hAnsi="Times New Roman" w:eastAsia="宋体"/>
      <w:kern w:val="2"/>
      <w:szCs w:val="22"/>
    </w:rPr>
  </w:style>
  <w:style w:type="character" w:customStyle="1" w:styleId="48">
    <w:name w:val="正文文本 Char1"/>
    <w:basedOn w:val="17"/>
    <w:semiHidden/>
    <w:uiPriority w:val="0"/>
    <w:rPr>
      <w:kern w:val="2"/>
      <w:sz w:val="24"/>
      <w:szCs w:val="24"/>
    </w:rPr>
  </w:style>
  <w:style w:type="paragraph" w:customStyle="1" w:styleId="49">
    <w:name w:val="样式1"/>
    <w:basedOn w:val="1"/>
    <w:link w:val="50"/>
    <w:qFormat/>
    <w:uiPriority w:val="0"/>
    <w:pPr>
      <w:ind w:firstLine="0" w:firstLineChars="0"/>
    </w:pPr>
  </w:style>
  <w:style w:type="character" w:customStyle="1" w:styleId="50">
    <w:name w:val="样式1 字符"/>
    <w:basedOn w:val="17"/>
    <w:link w:val="49"/>
    <w:qFormat/>
    <w:uiPriority w:val="0"/>
    <w:rPr>
      <w:rFonts w:ascii="Times New Roman" w:hAnsi="Times New Roman" w:eastAsia="宋体"/>
      <w:kern w:val="2"/>
      <w:szCs w:val="22"/>
    </w:rPr>
  </w:style>
</w:styles>
</file>

<file path=word/_rels/document.xml.rels><?xml version="1.0" encoding="UTF-8" standalone="yes"?>
<Relationships xmlns="http://schemas.openxmlformats.org/package/2006/relationships"><Relationship Id="rId99" Type="http://schemas.openxmlformats.org/officeDocument/2006/relationships/image" Target="media/image53.png"/><Relationship Id="rId98" Type="http://schemas.openxmlformats.org/officeDocument/2006/relationships/image" Target="media/image52.png"/><Relationship Id="rId97" Type="http://schemas.openxmlformats.org/officeDocument/2006/relationships/image" Target="media/image51.png"/><Relationship Id="rId96" Type="http://schemas.openxmlformats.org/officeDocument/2006/relationships/image" Target="media/image50.png"/><Relationship Id="rId95" Type="http://schemas.openxmlformats.org/officeDocument/2006/relationships/image" Target="media/image49.png"/><Relationship Id="rId94" Type="http://schemas.openxmlformats.org/officeDocument/2006/relationships/image" Target="media/image48.png"/><Relationship Id="rId93" Type="http://schemas.openxmlformats.org/officeDocument/2006/relationships/image" Target="media/image47.png"/><Relationship Id="rId92" Type="http://schemas.openxmlformats.org/officeDocument/2006/relationships/image" Target="media/image46.png"/><Relationship Id="rId91" Type="http://schemas.openxmlformats.org/officeDocument/2006/relationships/image" Target="media/image45.png"/><Relationship Id="rId90" Type="http://schemas.openxmlformats.org/officeDocument/2006/relationships/image" Target="media/image44.png"/><Relationship Id="rId9" Type="http://schemas.openxmlformats.org/officeDocument/2006/relationships/footer" Target="footer2.xml"/><Relationship Id="rId89" Type="http://schemas.openxmlformats.org/officeDocument/2006/relationships/image" Target="media/image43.png"/><Relationship Id="rId88" Type="http://schemas.openxmlformats.org/officeDocument/2006/relationships/image" Target="media/image42.png"/><Relationship Id="rId87" Type="http://schemas.openxmlformats.org/officeDocument/2006/relationships/image" Target="media/image41.png"/><Relationship Id="rId86" Type="http://schemas.openxmlformats.org/officeDocument/2006/relationships/image" Target="media/image40.png"/><Relationship Id="rId85" Type="http://schemas.openxmlformats.org/officeDocument/2006/relationships/image" Target="media/image39.jpeg"/><Relationship Id="rId84" Type="http://schemas.openxmlformats.org/officeDocument/2006/relationships/image" Target="media/image38.jpeg"/><Relationship Id="rId83" Type="http://schemas.openxmlformats.org/officeDocument/2006/relationships/image" Target="media/image37.jpeg"/><Relationship Id="rId82" Type="http://schemas.openxmlformats.org/officeDocument/2006/relationships/image" Target="media/image36.jpeg"/><Relationship Id="rId81" Type="http://schemas.openxmlformats.org/officeDocument/2006/relationships/image" Target="media/image35.jpeg"/><Relationship Id="rId80" Type="http://schemas.openxmlformats.org/officeDocument/2006/relationships/image" Target="media/image34.jpeg"/><Relationship Id="rId8" Type="http://schemas.openxmlformats.org/officeDocument/2006/relationships/footer" Target="footer1.xml"/><Relationship Id="rId79" Type="http://schemas.openxmlformats.org/officeDocument/2006/relationships/image" Target="media/image33.png"/><Relationship Id="rId78" Type="http://schemas.openxmlformats.org/officeDocument/2006/relationships/image" Target="media/image32.png"/><Relationship Id="rId77" Type="http://schemas.openxmlformats.org/officeDocument/2006/relationships/image" Target="media/image31.png"/><Relationship Id="rId76" Type="http://schemas.openxmlformats.org/officeDocument/2006/relationships/image" Target="media/image30.emf"/><Relationship Id="rId75" Type="http://schemas.openxmlformats.org/officeDocument/2006/relationships/image" Target="media/image29.emf"/><Relationship Id="rId74" Type="http://schemas.openxmlformats.org/officeDocument/2006/relationships/image" Target="media/image28.wmf"/><Relationship Id="rId73" Type="http://schemas.openxmlformats.org/officeDocument/2006/relationships/oleObject" Target="embeddings/oleObject32.bin"/><Relationship Id="rId72" Type="http://schemas.openxmlformats.org/officeDocument/2006/relationships/image" Target="media/image27.wmf"/><Relationship Id="rId71" Type="http://schemas.openxmlformats.org/officeDocument/2006/relationships/oleObject" Target="embeddings/oleObject31.bin"/><Relationship Id="rId70" Type="http://schemas.openxmlformats.org/officeDocument/2006/relationships/image" Target="media/image26.wmf"/><Relationship Id="rId7" Type="http://schemas.openxmlformats.org/officeDocument/2006/relationships/header" Target="header3.xml"/><Relationship Id="rId69" Type="http://schemas.openxmlformats.org/officeDocument/2006/relationships/oleObject" Target="embeddings/oleObject30.bin"/><Relationship Id="rId68" Type="http://schemas.openxmlformats.org/officeDocument/2006/relationships/image" Target="media/image25.wmf"/><Relationship Id="rId67" Type="http://schemas.openxmlformats.org/officeDocument/2006/relationships/oleObject" Target="embeddings/oleObject29.bin"/><Relationship Id="rId66" Type="http://schemas.openxmlformats.org/officeDocument/2006/relationships/image" Target="media/image24.wmf"/><Relationship Id="rId65" Type="http://schemas.openxmlformats.org/officeDocument/2006/relationships/oleObject" Target="embeddings/oleObject28.bin"/><Relationship Id="rId64" Type="http://schemas.openxmlformats.org/officeDocument/2006/relationships/image" Target="media/image23.wmf"/><Relationship Id="rId63" Type="http://schemas.openxmlformats.org/officeDocument/2006/relationships/oleObject" Target="embeddings/oleObject27.bin"/><Relationship Id="rId62" Type="http://schemas.openxmlformats.org/officeDocument/2006/relationships/image" Target="media/image22.wmf"/><Relationship Id="rId61" Type="http://schemas.openxmlformats.org/officeDocument/2006/relationships/oleObject" Target="embeddings/oleObject26.bin"/><Relationship Id="rId60" Type="http://schemas.openxmlformats.org/officeDocument/2006/relationships/image" Target="media/image21.wmf"/><Relationship Id="rId6" Type="http://schemas.openxmlformats.org/officeDocument/2006/relationships/header" Target="header2.xml"/><Relationship Id="rId59" Type="http://schemas.openxmlformats.org/officeDocument/2006/relationships/oleObject" Target="embeddings/oleObject25.bin"/><Relationship Id="rId58" Type="http://schemas.openxmlformats.org/officeDocument/2006/relationships/image" Target="media/image20.wmf"/><Relationship Id="rId57" Type="http://schemas.openxmlformats.org/officeDocument/2006/relationships/oleObject" Target="embeddings/oleObject24.bin"/><Relationship Id="rId56" Type="http://schemas.openxmlformats.org/officeDocument/2006/relationships/image" Target="media/image19.wmf"/><Relationship Id="rId55" Type="http://schemas.openxmlformats.org/officeDocument/2006/relationships/oleObject" Target="embeddings/oleObject23.bin"/><Relationship Id="rId54" Type="http://schemas.openxmlformats.org/officeDocument/2006/relationships/image" Target="media/image18.wmf"/><Relationship Id="rId53" Type="http://schemas.openxmlformats.org/officeDocument/2006/relationships/oleObject" Target="embeddings/oleObject22.bin"/><Relationship Id="rId52" Type="http://schemas.openxmlformats.org/officeDocument/2006/relationships/oleObject" Target="embeddings/oleObject21.bin"/><Relationship Id="rId51" Type="http://schemas.openxmlformats.org/officeDocument/2006/relationships/oleObject" Target="embeddings/oleObject20.bin"/><Relationship Id="rId50" Type="http://schemas.openxmlformats.org/officeDocument/2006/relationships/image" Target="media/image17.wmf"/><Relationship Id="rId5" Type="http://schemas.openxmlformats.org/officeDocument/2006/relationships/header" Target="header1.xml"/><Relationship Id="rId49" Type="http://schemas.openxmlformats.org/officeDocument/2006/relationships/oleObject" Target="embeddings/oleObject19.bin"/><Relationship Id="rId48" Type="http://schemas.openxmlformats.org/officeDocument/2006/relationships/image" Target="media/image16.wmf"/><Relationship Id="rId47" Type="http://schemas.openxmlformats.org/officeDocument/2006/relationships/oleObject" Target="embeddings/oleObject18.bin"/><Relationship Id="rId46" Type="http://schemas.openxmlformats.org/officeDocument/2006/relationships/oleObject" Target="embeddings/oleObject17.bin"/><Relationship Id="rId45" Type="http://schemas.openxmlformats.org/officeDocument/2006/relationships/oleObject" Target="embeddings/oleObject16.bin"/><Relationship Id="rId44" Type="http://schemas.openxmlformats.org/officeDocument/2006/relationships/image" Target="media/image15.wmf"/><Relationship Id="rId43" Type="http://schemas.openxmlformats.org/officeDocument/2006/relationships/oleObject" Target="embeddings/oleObject15.bin"/><Relationship Id="rId42" Type="http://schemas.openxmlformats.org/officeDocument/2006/relationships/image" Target="media/image14.wmf"/><Relationship Id="rId41" Type="http://schemas.openxmlformats.org/officeDocument/2006/relationships/oleObject" Target="embeddings/oleObject14.bin"/><Relationship Id="rId40" Type="http://schemas.openxmlformats.org/officeDocument/2006/relationships/image" Target="media/image13.wmf"/><Relationship Id="rId4" Type="http://schemas.openxmlformats.org/officeDocument/2006/relationships/endnotes" Target="endnotes.xml"/><Relationship Id="rId39" Type="http://schemas.openxmlformats.org/officeDocument/2006/relationships/oleObject" Target="embeddings/oleObject13.bin"/><Relationship Id="rId38" Type="http://schemas.openxmlformats.org/officeDocument/2006/relationships/image" Target="media/image12.wmf"/><Relationship Id="rId37" Type="http://schemas.openxmlformats.org/officeDocument/2006/relationships/oleObject" Target="embeddings/oleObject12.bin"/><Relationship Id="rId36" Type="http://schemas.openxmlformats.org/officeDocument/2006/relationships/image" Target="media/image11.wmf"/><Relationship Id="rId35" Type="http://schemas.openxmlformats.org/officeDocument/2006/relationships/oleObject" Target="embeddings/oleObject11.bin"/><Relationship Id="rId34" Type="http://schemas.openxmlformats.org/officeDocument/2006/relationships/image" Target="media/image10.wmf"/><Relationship Id="rId33" Type="http://schemas.openxmlformats.org/officeDocument/2006/relationships/oleObject" Target="embeddings/oleObject10.bin"/><Relationship Id="rId32" Type="http://schemas.openxmlformats.org/officeDocument/2006/relationships/image" Target="media/image9.wmf"/><Relationship Id="rId31" Type="http://schemas.openxmlformats.org/officeDocument/2006/relationships/oleObject" Target="embeddings/oleObject9.bin"/><Relationship Id="rId30" Type="http://schemas.openxmlformats.org/officeDocument/2006/relationships/image" Target="media/image8.wmf"/><Relationship Id="rId3" Type="http://schemas.openxmlformats.org/officeDocument/2006/relationships/footnotes" Target="footnotes.xml"/><Relationship Id="rId29" Type="http://schemas.openxmlformats.org/officeDocument/2006/relationships/oleObject" Target="embeddings/oleObject8.bin"/><Relationship Id="rId28" Type="http://schemas.openxmlformats.org/officeDocument/2006/relationships/image" Target="media/image7.wmf"/><Relationship Id="rId27" Type="http://schemas.openxmlformats.org/officeDocument/2006/relationships/oleObject" Target="embeddings/oleObject7.bin"/><Relationship Id="rId26" Type="http://schemas.openxmlformats.org/officeDocument/2006/relationships/image" Target="media/image6.wmf"/><Relationship Id="rId25" Type="http://schemas.openxmlformats.org/officeDocument/2006/relationships/oleObject" Target="embeddings/oleObject6.bin"/><Relationship Id="rId24" Type="http://schemas.openxmlformats.org/officeDocument/2006/relationships/image" Target="media/image5.wmf"/><Relationship Id="rId23" Type="http://schemas.openxmlformats.org/officeDocument/2006/relationships/oleObject" Target="embeddings/oleObject5.bin"/><Relationship Id="rId22" Type="http://schemas.openxmlformats.org/officeDocument/2006/relationships/image" Target="media/image4.wmf"/><Relationship Id="rId21" Type="http://schemas.openxmlformats.org/officeDocument/2006/relationships/oleObject" Target="embeddings/oleObject4.bin"/><Relationship Id="rId20" Type="http://schemas.openxmlformats.org/officeDocument/2006/relationships/image" Target="media/image3.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2.wmf"/><Relationship Id="rId17" Type="http://schemas.openxmlformats.org/officeDocument/2006/relationships/oleObject" Target="embeddings/oleObject2.bin"/><Relationship Id="rId16" Type="http://schemas.openxmlformats.org/officeDocument/2006/relationships/image" Target="media/image1.wmf"/><Relationship Id="rId15" Type="http://schemas.openxmlformats.org/officeDocument/2006/relationships/oleObject" Target="embeddings/oleObject1.bin"/><Relationship Id="rId14" Type="http://schemas.openxmlformats.org/officeDocument/2006/relationships/theme" Target="theme/theme1.xml"/><Relationship Id="rId13" Type="http://schemas.openxmlformats.org/officeDocument/2006/relationships/footer" Target="footer4.xml"/><Relationship Id="rId12" Type="http://schemas.openxmlformats.org/officeDocument/2006/relationships/header" Target="header5.xml"/><Relationship Id="rId118" Type="http://schemas.openxmlformats.org/officeDocument/2006/relationships/fontTable" Target="fontTable.xml"/><Relationship Id="rId117" Type="http://schemas.openxmlformats.org/officeDocument/2006/relationships/customXml" Target="../customXml/item1.xml"/><Relationship Id="rId116" Type="http://schemas.openxmlformats.org/officeDocument/2006/relationships/numbering" Target="numbering.xml"/><Relationship Id="rId115" Type="http://schemas.openxmlformats.org/officeDocument/2006/relationships/image" Target="media/image69.png"/><Relationship Id="rId114" Type="http://schemas.openxmlformats.org/officeDocument/2006/relationships/image" Target="media/image68.png"/><Relationship Id="rId113" Type="http://schemas.openxmlformats.org/officeDocument/2006/relationships/image" Target="media/image67.png"/><Relationship Id="rId112" Type="http://schemas.openxmlformats.org/officeDocument/2006/relationships/image" Target="media/image66.png"/><Relationship Id="rId111" Type="http://schemas.openxmlformats.org/officeDocument/2006/relationships/image" Target="media/image65.png"/><Relationship Id="rId110" Type="http://schemas.openxmlformats.org/officeDocument/2006/relationships/image" Target="media/image64.png"/><Relationship Id="rId11" Type="http://schemas.openxmlformats.org/officeDocument/2006/relationships/header" Target="header4.xml"/><Relationship Id="rId109" Type="http://schemas.openxmlformats.org/officeDocument/2006/relationships/image" Target="media/image63.png"/><Relationship Id="rId108" Type="http://schemas.openxmlformats.org/officeDocument/2006/relationships/image" Target="media/image62.jpeg"/><Relationship Id="rId107" Type="http://schemas.openxmlformats.org/officeDocument/2006/relationships/image" Target="media/image61.png"/><Relationship Id="rId106" Type="http://schemas.openxmlformats.org/officeDocument/2006/relationships/image" Target="media/image60.png"/><Relationship Id="rId105" Type="http://schemas.openxmlformats.org/officeDocument/2006/relationships/image" Target="media/image59.png"/><Relationship Id="rId104" Type="http://schemas.openxmlformats.org/officeDocument/2006/relationships/image" Target="media/image58.png"/><Relationship Id="rId103" Type="http://schemas.openxmlformats.org/officeDocument/2006/relationships/image" Target="media/image57.png"/><Relationship Id="rId102" Type="http://schemas.openxmlformats.org/officeDocument/2006/relationships/image" Target="media/image56.png"/><Relationship Id="rId101" Type="http://schemas.openxmlformats.org/officeDocument/2006/relationships/image" Target="media/image55.png"/><Relationship Id="rId100" Type="http://schemas.openxmlformats.org/officeDocument/2006/relationships/image" Target="media/image54.png"/><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44C10-C1E2-40D8-89BC-578C8E8B633B}">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10</Pages>
  <Words>6175</Words>
  <Characters>8584</Characters>
  <Lines>72</Lines>
  <Paragraphs>20</Paragraphs>
  <TotalTime>3</TotalTime>
  <ScaleCrop>false</ScaleCrop>
  <LinksUpToDate>false</LinksUpToDate>
  <CharactersWithSpaces>9094</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2022-09-27T06:08:00Z</dcterms:created>
  <dc:creator>高 定全</dc:creator>
  <cp:lastModifiedBy>Administrator</cp:lastModifiedBy>
  <cp:lastPrinted>2020-12-15T06:00:00Z</cp:lastPrinted>
  <dcterms:modified xsi:type="dcterms:W3CDTF">2022-12-27T02:42:54Z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562DD9CFD7ED4BE1A0EAF6F05E6AEE0A</vt:lpwstr>
  </property>
</Properties>
</file>